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7607E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>,</w:t>
            </w:r>
            <w:r w:rsidR="000D251C">
              <w:rPr>
                <w:b/>
              </w:rPr>
              <w:tab/>
            </w:r>
            <w:r w:rsidR="00412392" w:rsidRPr="0041239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07431552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926EB9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926EB9">
              <w:rPr>
                <w:rFonts w:ascii="Times New Roman" w:hAnsi="Times New Roman"/>
                <w:sz w:val="24"/>
              </w:rPr>
              <w:t>24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CE18CB">
              <w:rPr>
                <w:rFonts w:ascii="Times New Roman" w:hAnsi="Times New Roman"/>
                <w:sz w:val="24"/>
              </w:rPr>
              <w:t>1</w:t>
            </w:r>
            <w:r w:rsidR="00926EB9">
              <w:rPr>
                <w:rFonts w:ascii="Times New Roman" w:hAnsi="Times New Roman"/>
                <w:sz w:val="24"/>
              </w:rPr>
              <w:t>2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926EB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26EB9">
              <w:rPr>
                <w:rFonts w:ascii="Times New Roman" w:hAnsi="Times New Roman"/>
                <w:spacing w:val="50"/>
                <w:sz w:val="24"/>
              </w:rPr>
              <w:t>85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245418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0D251C" w:rsidRDefault="00C36E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245418">
        <w:rPr>
          <w:rFonts w:ascii="Times New Roman" w:hAnsi="Times New Roman" w:cs="Times New Roman"/>
          <w:b w:val="0"/>
          <w:sz w:val="28"/>
          <w:szCs w:val="28"/>
        </w:rPr>
        <w:t>,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F9C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45418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proofErr w:type="gram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</w:t>
      </w:r>
      <w:r w:rsidR="00245418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2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4 от 03.02.2014г.,№13 от 08.04.2014г.,№18 от 16.05.2014г.,№22 от 05.06.2014г.,№24 от 08.07.2014г.,№37 от 15.09.2014г.,№41 от 06.10.2014г.,№49 от 13.11.2014г.,№52 от 01.12.2014г.,№59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</w:t>
      </w:r>
      <w:r w:rsidR="002B5097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057324">
        <w:rPr>
          <w:rFonts w:ascii="Times New Roman" w:hAnsi="Times New Roman" w:cs="Times New Roman"/>
          <w:b w:val="0"/>
          <w:sz w:val="28"/>
          <w:szCs w:val="28"/>
        </w:rPr>
        <w:t>,.№7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 xml:space="preserve">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>
        <w:rPr>
          <w:rFonts w:ascii="Times New Roman" w:hAnsi="Times New Roman"/>
          <w:b w:val="0"/>
          <w:sz w:val="28"/>
          <w:szCs w:val="28"/>
        </w:rPr>
        <w:t>,№28 от 28.05.2018г.</w:t>
      </w:r>
      <w:r w:rsidR="0037713A">
        <w:rPr>
          <w:rFonts w:ascii="Times New Roman" w:hAnsi="Times New Roman"/>
          <w:b w:val="0"/>
          <w:sz w:val="28"/>
          <w:szCs w:val="28"/>
        </w:rPr>
        <w:t>,</w:t>
      </w:r>
      <w:r w:rsidR="000D016D">
        <w:rPr>
          <w:rFonts w:ascii="Times New Roman" w:hAnsi="Times New Roman"/>
          <w:b w:val="0"/>
          <w:sz w:val="28"/>
          <w:szCs w:val="28"/>
        </w:rPr>
        <w:t>№</w:t>
      </w:r>
      <w:r w:rsidR="00245418">
        <w:rPr>
          <w:rFonts w:ascii="Times New Roman" w:hAnsi="Times New Roman"/>
          <w:b w:val="0"/>
          <w:sz w:val="28"/>
          <w:szCs w:val="28"/>
        </w:rPr>
        <w:t xml:space="preserve"> </w:t>
      </w:r>
      <w:r w:rsidR="000D016D">
        <w:rPr>
          <w:rFonts w:ascii="Times New Roman" w:hAnsi="Times New Roman"/>
          <w:b w:val="0"/>
          <w:sz w:val="28"/>
          <w:szCs w:val="28"/>
        </w:rPr>
        <w:t>63 от 17.09.2018г</w:t>
      </w:r>
      <w:r w:rsidR="006E5E22">
        <w:rPr>
          <w:rFonts w:ascii="Times New Roman" w:hAnsi="Times New Roman"/>
          <w:b w:val="0"/>
          <w:sz w:val="28"/>
          <w:szCs w:val="28"/>
        </w:rPr>
        <w:t>,№77 от 12.11.2018г.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</w:t>
      </w:r>
      <w:r w:rsidR="00245418">
        <w:rPr>
          <w:rFonts w:ascii="Times New Roman" w:hAnsi="Times New Roman" w:cs="Times New Roman"/>
          <w:b w:val="0"/>
          <w:sz w:val="28"/>
          <w:szCs w:val="28"/>
        </w:rPr>
        <w:t>ю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F083D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4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E01783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0456" w:rsidRDefault="0071540C" w:rsidP="006E5E2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54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926EB9">
        <w:rPr>
          <w:sz w:val="22"/>
        </w:rPr>
        <w:t>24.12</w:t>
      </w:r>
      <w:r w:rsidR="006B24D5">
        <w:rPr>
          <w:sz w:val="22"/>
        </w:rPr>
        <w:t>.</w:t>
      </w:r>
      <w:r w:rsidR="00DA07DA">
        <w:rPr>
          <w:sz w:val="22"/>
        </w:rPr>
        <w:t>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926EB9">
        <w:rPr>
          <w:sz w:val="22"/>
        </w:rPr>
        <w:t>85</w:t>
      </w:r>
      <w:r w:rsidR="00CE18CB">
        <w:rPr>
          <w:sz w:val="22"/>
        </w:rPr>
        <w:t xml:space="preserve"> 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245418" w:rsidRDefault="00245418" w:rsidP="00D902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0456" w:rsidRPr="00245418" w:rsidRDefault="00245418" w:rsidP="002454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D90223" w:rsidRPr="00245418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программу,  утв. постановлением № 78 от 14.10.2013г.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83D" w:rsidRPr="00245418">
        <w:rPr>
          <w:rFonts w:ascii="Times New Roman" w:hAnsi="Times New Roman" w:cs="Times New Roman"/>
          <w:b w:val="0"/>
          <w:sz w:val="28"/>
          <w:szCs w:val="28"/>
        </w:rPr>
        <w:t>с изменениями утв. п</w:t>
      </w:r>
      <w:r w:rsidR="000C24E8" w:rsidRPr="00245418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B725A" w:rsidRPr="002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4 от 03.02.2014г.,№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13 от 08.04.2014г.,№18 от 16.05.2014г.,№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22 от 05.06.2014г.,№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24 от 08.07.2014г.,№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37 от 15.09.2014г.,№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41 от 06.10.2014г.,№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6DB" w:rsidRPr="00245418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 xml:space="preserve"> от 13.11.2014г.,№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52 от 01.12.2014г.,№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59 от 22.12.2014г.,№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2 от 28</w:t>
      </w:r>
      <w:r w:rsidR="00335AE5" w:rsidRPr="00245418">
        <w:rPr>
          <w:rFonts w:ascii="Times New Roman" w:hAnsi="Times New Roman" w:cs="Times New Roman"/>
          <w:b w:val="0"/>
          <w:sz w:val="28"/>
          <w:szCs w:val="28"/>
        </w:rPr>
        <w:t>.01.2015г.,№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AE5" w:rsidRPr="00245418">
        <w:rPr>
          <w:rFonts w:ascii="Times New Roman" w:hAnsi="Times New Roman" w:cs="Times New Roman"/>
          <w:b w:val="0"/>
          <w:sz w:val="28"/>
          <w:szCs w:val="28"/>
        </w:rPr>
        <w:t>6 от</w:t>
      </w:r>
      <w:proofErr w:type="gramEnd"/>
      <w:r w:rsidR="00335AE5" w:rsidRPr="002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35AE5" w:rsidRPr="00245418">
        <w:rPr>
          <w:rFonts w:ascii="Times New Roman" w:hAnsi="Times New Roman" w:cs="Times New Roman"/>
          <w:b w:val="0"/>
          <w:sz w:val="28"/>
          <w:szCs w:val="28"/>
        </w:rPr>
        <w:t>18.03.2015г.,№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9 от 01.04.2015г.,№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12 от 21.04.2015г.,№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19 от 12.05.2015г.,№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32 от 31.07.2015г.,№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40 от 1</w:t>
      </w:r>
      <w:r w:rsidR="00E01783" w:rsidRPr="00245418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245418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74C" w:rsidRPr="00245418">
        <w:rPr>
          <w:rFonts w:ascii="Times New Roman" w:hAnsi="Times New Roman" w:cs="Times New Roman"/>
          <w:b w:val="0"/>
          <w:sz w:val="28"/>
          <w:szCs w:val="28"/>
        </w:rPr>
        <w:t>45 от 08.10.2015г.</w:t>
      </w:r>
      <w:r w:rsidR="00A501C2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1C2" w:rsidRPr="00245418">
        <w:rPr>
          <w:rFonts w:ascii="Times New Roman" w:hAnsi="Times New Roman" w:cs="Times New Roman"/>
          <w:b w:val="0"/>
          <w:sz w:val="28"/>
          <w:szCs w:val="28"/>
        </w:rPr>
        <w:t>60 от 22.12.2015г.</w:t>
      </w:r>
      <w:r w:rsidR="004845BD" w:rsidRPr="00245418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36B8" w:rsidRPr="00245418">
        <w:rPr>
          <w:rFonts w:ascii="Times New Roman" w:hAnsi="Times New Roman" w:cs="Times New Roman"/>
          <w:b w:val="0"/>
          <w:sz w:val="28"/>
          <w:szCs w:val="28"/>
        </w:rPr>
        <w:t>39 от 27.05.2016г.</w:t>
      </w:r>
      <w:r w:rsidR="006C5900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900" w:rsidRPr="00245418">
        <w:rPr>
          <w:rFonts w:ascii="Times New Roman" w:hAnsi="Times New Roman" w:cs="Times New Roman"/>
          <w:b w:val="0"/>
          <w:sz w:val="28"/>
          <w:szCs w:val="28"/>
        </w:rPr>
        <w:t>42 от 09.06.2016г.</w:t>
      </w:r>
      <w:r w:rsidR="0049275E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75E" w:rsidRPr="00245418">
        <w:rPr>
          <w:rFonts w:ascii="Times New Roman" w:hAnsi="Times New Roman" w:cs="Times New Roman"/>
          <w:b w:val="0"/>
          <w:sz w:val="28"/>
          <w:szCs w:val="28"/>
        </w:rPr>
        <w:t>56 от 05.07.2016г.</w:t>
      </w:r>
      <w:r w:rsidR="00E01783" w:rsidRPr="00245418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EF9" w:rsidRPr="00245418">
        <w:rPr>
          <w:rFonts w:ascii="Times New Roman" w:hAnsi="Times New Roman" w:cs="Times New Roman"/>
          <w:b w:val="0"/>
          <w:sz w:val="28"/>
          <w:szCs w:val="28"/>
        </w:rPr>
        <w:t>71 от 22.08.2016г</w:t>
      </w:r>
      <w:r w:rsidR="006B194F" w:rsidRPr="00245418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245418">
        <w:rPr>
          <w:rFonts w:ascii="Times New Roman" w:hAnsi="Times New Roman" w:cs="Times New Roman"/>
          <w:b w:val="0"/>
          <w:sz w:val="28"/>
          <w:szCs w:val="28"/>
        </w:rPr>
        <w:t>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4C70" w:rsidRPr="00245418">
        <w:rPr>
          <w:rFonts w:ascii="Times New Roman" w:hAnsi="Times New Roman" w:cs="Times New Roman"/>
          <w:b w:val="0"/>
          <w:sz w:val="28"/>
          <w:szCs w:val="28"/>
        </w:rPr>
        <w:t>97 от 22.12.2016г.</w:t>
      </w:r>
      <w:r w:rsidR="00FB167D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67D" w:rsidRPr="00245418">
        <w:rPr>
          <w:rFonts w:ascii="Times New Roman" w:hAnsi="Times New Roman" w:cs="Times New Roman"/>
          <w:b w:val="0"/>
          <w:sz w:val="28"/>
          <w:szCs w:val="28"/>
        </w:rPr>
        <w:t>27 от</w:t>
      </w:r>
      <w:proofErr w:type="gramEnd"/>
      <w:r w:rsidR="00FB167D" w:rsidRPr="002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B167D" w:rsidRPr="00245418">
        <w:rPr>
          <w:rFonts w:ascii="Times New Roman" w:hAnsi="Times New Roman" w:cs="Times New Roman"/>
          <w:b w:val="0"/>
          <w:sz w:val="28"/>
          <w:szCs w:val="28"/>
        </w:rPr>
        <w:t>03.04.2017г.</w:t>
      </w:r>
      <w:r w:rsidR="005161AF" w:rsidRPr="00245418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245418">
        <w:rPr>
          <w:rFonts w:ascii="Times New Roman" w:hAnsi="Times New Roman" w:cs="Times New Roman"/>
          <w:b w:val="0"/>
          <w:sz w:val="28"/>
          <w:szCs w:val="28"/>
        </w:rPr>
        <w:t>.,№68 от 20.06.2017г.</w:t>
      </w:r>
      <w:r w:rsidR="00DA30CC" w:rsidRPr="0024541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0CC" w:rsidRPr="00245418">
        <w:rPr>
          <w:rFonts w:ascii="Times New Roman" w:hAnsi="Times New Roman" w:cs="Times New Roman"/>
          <w:b w:val="0"/>
          <w:sz w:val="28"/>
          <w:szCs w:val="28"/>
        </w:rPr>
        <w:t>76 от 16.08.2017г.</w:t>
      </w:r>
      <w:r w:rsidR="002207D6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7D6" w:rsidRPr="00245418">
        <w:rPr>
          <w:rFonts w:ascii="Times New Roman" w:hAnsi="Times New Roman" w:cs="Times New Roman"/>
          <w:b w:val="0"/>
          <w:sz w:val="28"/>
          <w:szCs w:val="28"/>
        </w:rPr>
        <w:t>82 от 21.09.2017г</w:t>
      </w:r>
      <w:r w:rsidR="0045667E" w:rsidRPr="00245418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245418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245418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245418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7F0" w:rsidRPr="00245418">
        <w:rPr>
          <w:rFonts w:ascii="Times New Roman" w:hAnsi="Times New Roman" w:cs="Times New Roman"/>
          <w:b w:val="0"/>
          <w:sz w:val="28"/>
          <w:szCs w:val="28"/>
        </w:rPr>
        <w:t>95от 29.11.</w:t>
      </w:r>
      <w:r w:rsidR="00981E41" w:rsidRPr="00245418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245418">
        <w:rPr>
          <w:rFonts w:ascii="Times New Roman" w:hAnsi="Times New Roman" w:cs="Times New Roman"/>
          <w:b w:val="0"/>
          <w:sz w:val="28"/>
          <w:szCs w:val="28"/>
        </w:rPr>
        <w:t>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C92" w:rsidRPr="00245418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245418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 w:rsidRPr="00245418">
        <w:rPr>
          <w:rFonts w:ascii="Times New Roman" w:hAnsi="Times New Roman" w:cs="Times New Roman"/>
          <w:b w:val="0"/>
          <w:sz w:val="28"/>
          <w:szCs w:val="28"/>
        </w:rPr>
        <w:t>.,№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07E" w:rsidRPr="00245418">
        <w:rPr>
          <w:rFonts w:ascii="Times New Roman" w:hAnsi="Times New Roman" w:cs="Times New Roman"/>
          <w:b w:val="0"/>
          <w:sz w:val="28"/>
          <w:szCs w:val="28"/>
        </w:rPr>
        <w:t>109 от 22.12.2017г.</w:t>
      </w:r>
      <w:r w:rsidR="00D90223" w:rsidRPr="00245418">
        <w:rPr>
          <w:rFonts w:ascii="Times New Roman" w:hAnsi="Times New Roman" w:cs="Times New Roman"/>
          <w:b w:val="0"/>
          <w:sz w:val="28"/>
          <w:szCs w:val="28"/>
        </w:rPr>
        <w:t>,№7 от 22.02.2018г.</w:t>
      </w:r>
      <w:r w:rsidR="00752924" w:rsidRPr="00245418">
        <w:rPr>
          <w:rFonts w:ascii="Times New Roman" w:hAnsi="Times New Roman"/>
          <w:sz w:val="28"/>
          <w:szCs w:val="28"/>
        </w:rPr>
        <w:t xml:space="preserve"> .</w:t>
      </w:r>
      <w:r w:rsidR="00752924" w:rsidRPr="00245418">
        <w:rPr>
          <w:rFonts w:ascii="Times New Roman" w:hAnsi="Times New Roman"/>
          <w:b w:val="0"/>
          <w:sz w:val="28"/>
          <w:szCs w:val="28"/>
        </w:rPr>
        <w:t>,№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52924" w:rsidRPr="00245418">
        <w:rPr>
          <w:rFonts w:ascii="Times New Roman" w:hAnsi="Times New Roman"/>
          <w:b w:val="0"/>
          <w:sz w:val="28"/>
          <w:szCs w:val="28"/>
        </w:rPr>
        <w:t>13 от 03.04.2018г.,№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52924" w:rsidRPr="00245418">
        <w:rPr>
          <w:rFonts w:ascii="Times New Roman" w:hAnsi="Times New Roman"/>
          <w:b w:val="0"/>
          <w:sz w:val="28"/>
          <w:szCs w:val="28"/>
        </w:rPr>
        <w:t>23 от 04.05.2018г.</w:t>
      </w:r>
      <w:r w:rsidR="00CC22DB" w:rsidRPr="00245418">
        <w:rPr>
          <w:rFonts w:ascii="Times New Roman" w:hAnsi="Times New Roman"/>
          <w:b w:val="0"/>
          <w:sz w:val="28"/>
          <w:szCs w:val="28"/>
        </w:rPr>
        <w:t>,№28 от 28.05.2018г.</w:t>
      </w:r>
      <w:r w:rsidR="0037713A" w:rsidRPr="00245418">
        <w:rPr>
          <w:rFonts w:ascii="Times New Roman" w:hAnsi="Times New Roman"/>
          <w:b w:val="0"/>
          <w:sz w:val="28"/>
          <w:szCs w:val="28"/>
        </w:rPr>
        <w:t>,№56 от 22.08.2018г.</w:t>
      </w:r>
      <w:r w:rsidR="000D016D" w:rsidRPr="00245418">
        <w:rPr>
          <w:rFonts w:ascii="Times New Roman" w:hAnsi="Times New Roman"/>
          <w:b w:val="0"/>
          <w:sz w:val="28"/>
          <w:szCs w:val="28"/>
        </w:rPr>
        <w:t>,№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D016D" w:rsidRPr="00245418">
        <w:rPr>
          <w:rFonts w:ascii="Times New Roman" w:hAnsi="Times New Roman"/>
          <w:b w:val="0"/>
          <w:sz w:val="28"/>
          <w:szCs w:val="28"/>
        </w:rPr>
        <w:t>63 от 17.09.2018г.</w:t>
      </w:r>
      <w:r w:rsidR="006E5E22" w:rsidRPr="00245418">
        <w:rPr>
          <w:rFonts w:ascii="Times New Roman" w:hAnsi="Times New Roman"/>
          <w:b w:val="0"/>
          <w:sz w:val="28"/>
          <w:szCs w:val="28"/>
        </w:rPr>
        <w:t>,№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E5E22" w:rsidRPr="00245418">
        <w:rPr>
          <w:rFonts w:ascii="Times New Roman" w:hAnsi="Times New Roman"/>
          <w:b w:val="0"/>
          <w:sz w:val="28"/>
          <w:szCs w:val="28"/>
        </w:rPr>
        <w:t>77 от 12.11.2018</w:t>
      </w:r>
      <w:proofErr w:type="gramEnd"/>
      <w:r w:rsidR="006E5E22" w:rsidRPr="00245418">
        <w:rPr>
          <w:rFonts w:ascii="Times New Roman" w:hAnsi="Times New Roman"/>
          <w:b w:val="0"/>
          <w:sz w:val="28"/>
          <w:szCs w:val="28"/>
        </w:rPr>
        <w:t>г</w:t>
      </w:r>
      <w:r w:rsidR="00752924" w:rsidRPr="00245418">
        <w:rPr>
          <w:rFonts w:ascii="Times New Roman" w:hAnsi="Times New Roman"/>
          <w:sz w:val="28"/>
          <w:szCs w:val="28"/>
        </w:rPr>
        <w:t xml:space="preserve">) </w:t>
      </w:r>
      <w:r w:rsidR="00AF083D" w:rsidRPr="002454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418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0456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темп роста инвестиций в основной </w:t>
            </w:r>
            <w:proofErr w:type="spellStart"/>
            <w:r>
              <w:rPr>
                <w:rFonts w:ascii="Times New Roman" w:hAnsi="Times New Roman"/>
                <w:szCs w:val="24"/>
              </w:rPr>
              <w:t>капитал%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 Обеспеченность населения 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0D016D">
              <w:rPr>
                <w:rFonts w:ascii="Times New Roman" w:hAnsi="Times New Roman"/>
                <w:sz w:val="28"/>
                <w:szCs w:val="28"/>
              </w:rPr>
              <w:t>11 952,8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D016D">
              <w:rPr>
                <w:rFonts w:ascii="Times New Roman" w:hAnsi="Times New Roman"/>
                <w:sz w:val="28"/>
                <w:szCs w:val="28"/>
              </w:rPr>
              <w:t>1967,2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 темп роста среднемесячных денежных 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 обеспечение поселения документами территориального планирования;</w:t>
            </w:r>
          </w:p>
          <w:p w:rsidR="006C0456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0D016D">
        <w:rPr>
          <w:rFonts w:ascii="Times New Roman" w:hAnsi="Times New Roman"/>
          <w:color w:val="000000"/>
          <w:sz w:val="28"/>
          <w:szCs w:val="28"/>
        </w:rPr>
        <w:t>11 952,8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3</w:t>
      </w:r>
      <w:r w:rsidR="000D0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236">
        <w:rPr>
          <w:rFonts w:ascii="Times New Roman" w:hAnsi="Times New Roman"/>
          <w:color w:val="000000"/>
          <w:sz w:val="28"/>
          <w:szCs w:val="28"/>
        </w:rPr>
        <w:t>678,9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0D016D">
        <w:rPr>
          <w:rFonts w:ascii="Times New Roman" w:hAnsi="Times New Roman"/>
          <w:color w:val="000000"/>
          <w:sz w:val="28"/>
          <w:szCs w:val="28"/>
        </w:rPr>
        <w:t>7 478,4</w:t>
      </w:r>
      <w:r>
        <w:rPr>
          <w:rFonts w:ascii="Times New Roman" w:hAnsi="Times New Roman"/>
          <w:color w:val="000000"/>
          <w:sz w:val="28"/>
          <w:szCs w:val="28"/>
        </w:rPr>
        <w:t>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79</w:t>
      </w:r>
      <w:r w:rsidR="00BC5F38">
        <w:rPr>
          <w:rFonts w:ascii="Times New Roman" w:hAnsi="Times New Roman"/>
          <w:color w:val="000000"/>
          <w:sz w:val="28"/>
          <w:szCs w:val="28"/>
        </w:rPr>
        <w:t>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45CEC" w:rsidRDefault="00B45CEC" w:rsidP="00B45CEC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2. внести в подпрограмму 2 следующие изменения:</w:t>
      </w:r>
    </w:p>
    <w:p w:rsidR="00B45CEC" w:rsidRDefault="00B45CEC" w:rsidP="00B45CE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B45CEC" w:rsidRDefault="00B45CEC" w:rsidP="00B45CEC">
      <w:pPr>
        <w:tabs>
          <w:tab w:val="left" w:pos="32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B45CEC" w:rsidRDefault="00B45CEC" w:rsidP="00B45CEC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B45CEC" w:rsidRDefault="00B45CEC" w:rsidP="00B45C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Развитие социальной сферы на территории  сельского поселения </w:t>
      </w:r>
    </w:p>
    <w:p w:rsidR="00B45CEC" w:rsidRDefault="00B45CEC" w:rsidP="00B45CEC">
      <w:pPr>
        <w:jc w:val="center"/>
      </w:pPr>
      <w:proofErr w:type="spellStart"/>
      <w:r>
        <w:rPr>
          <w:b/>
          <w:i/>
          <w:sz w:val="28"/>
          <w:szCs w:val="28"/>
          <w:u w:val="single"/>
        </w:rPr>
        <w:t>Среднематренский</w:t>
      </w:r>
      <w:proofErr w:type="spellEnd"/>
      <w:r>
        <w:rPr>
          <w:b/>
          <w:i/>
          <w:sz w:val="28"/>
          <w:szCs w:val="28"/>
          <w:u w:val="single"/>
        </w:rPr>
        <w:t xml:space="preserve"> 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B45CEC" w:rsidTr="00B45CEC">
        <w:trPr>
          <w:trHeight w:val="1693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pPr>
              <w:shd w:val="clear" w:color="auto" w:fill="FFFFFF"/>
              <w:jc w:val="both"/>
            </w:pPr>
            <w:r>
              <w:t>Основными задачами подпрограммы являются:</w:t>
            </w:r>
          </w:p>
          <w:p w:rsidR="00B45CEC" w:rsidRDefault="00B45CEC" w:rsidP="00B45CEC">
            <w:pPr>
              <w:shd w:val="clear" w:color="auto" w:fill="FFFFFF"/>
              <w:jc w:val="both"/>
            </w:pPr>
            <w:r>
              <w:t>1. Приобщение жителей поселения к регулярным занятиям физической культурой и спортом.</w:t>
            </w:r>
          </w:p>
          <w:p w:rsidR="00B45CEC" w:rsidRDefault="00B45CEC" w:rsidP="00B45CEC">
            <w:pPr>
              <w:ind w:firstLine="95"/>
              <w:jc w:val="both"/>
            </w:pPr>
            <w:r>
              <w:t>2.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Поддержка и развитие творческого потенциала сельского  поселения.</w:t>
            </w:r>
          </w:p>
          <w:p w:rsidR="00B45CEC" w:rsidRDefault="00B45CEC" w:rsidP="00B45CEC">
            <w:pPr>
              <w:ind w:firstLine="95"/>
              <w:jc w:val="both"/>
            </w:pPr>
            <w: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Default="00B45CEC" w:rsidP="00B45CEC">
            <w: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B45CEC" w:rsidRDefault="00B45CEC" w:rsidP="00B45CEC">
            <w:pPr>
              <w:jc w:val="both"/>
            </w:pPr>
            <w:r>
              <w:t xml:space="preserve">Показатель 2. Количество мероприятий, проводимых </w:t>
            </w:r>
            <w:proofErr w:type="spellStart"/>
            <w:r>
              <w:t>культурно-досуговыми</w:t>
            </w:r>
            <w:proofErr w:type="spellEnd"/>
            <w:r>
              <w:t xml:space="preserve"> учреждениями, ед.</w:t>
            </w:r>
          </w:p>
          <w:p w:rsidR="00B45CEC" w:rsidRDefault="00B45CEC" w:rsidP="00B45CEC">
            <w: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Default="00B45CEC" w:rsidP="00B45CEC">
            <w:r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Default="00B45CEC" w:rsidP="00B45CEC">
            <w:r>
              <w:t xml:space="preserve"> 2014 по 2020 годы.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 xml:space="preserve">Прогнозируемый объем финансирования из бюджета сельского поселения составит – </w:t>
            </w:r>
            <w:r w:rsidR="000D016D">
              <w:t>7 478,4</w:t>
            </w:r>
            <w:r>
              <w:t>тыс. руб., в том числе по годам реализации: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</w:t>
            </w:r>
            <w:r w:rsidR="000D016D">
              <w:t xml:space="preserve"> </w:t>
            </w:r>
            <w:r>
              <w:t>024,0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964,8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961,9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1</w:t>
            </w:r>
            <w:r w:rsidR="000D016D">
              <w:t xml:space="preserve"> </w:t>
            </w:r>
            <w:r>
              <w:t>163,7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8 г"/>
              </w:smartTagPr>
              <w:r>
                <w:lastRenderedPageBreak/>
                <w:t>2018 г</w:t>
              </w:r>
            </w:smartTag>
            <w:r>
              <w:t xml:space="preserve">. – </w:t>
            </w:r>
            <w:r w:rsidR="000D016D">
              <w:t>1 375,7</w:t>
            </w:r>
            <w:r>
              <w:t xml:space="preserve">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1</w:t>
            </w:r>
            <w:r w:rsidR="000D016D">
              <w:t xml:space="preserve"> </w:t>
            </w:r>
            <w:r>
              <w:t>015,8 тыс. руб.,</w:t>
            </w:r>
          </w:p>
          <w:p w:rsidR="00B45CEC" w:rsidRDefault="00B45CEC" w:rsidP="00B45CEC"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– 972,5 тыс. руб.</w:t>
            </w:r>
          </w:p>
          <w:p w:rsidR="00B45CEC" w:rsidRDefault="00B45CEC" w:rsidP="00B45CEC">
            <w: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B45CEC" w:rsidTr="00B45CEC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Default="00B45CEC" w:rsidP="00B45CEC">
            <w:r>
              <w:t xml:space="preserve"> Реализация подпрограммы позволит обеспечить к 2020 году:</w:t>
            </w:r>
          </w:p>
          <w:p w:rsidR="00B45CEC" w:rsidRDefault="00B45CEC" w:rsidP="00B45CEC">
            <w:pPr>
              <w:jc w:val="both"/>
            </w:pPr>
            <w: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B45CEC" w:rsidRDefault="00B45CEC" w:rsidP="00B45CEC">
            <w:r>
              <w:t>- увеличение  количество посещений муниципальной библиотеки поселения  до 5950 посещений.</w:t>
            </w:r>
          </w:p>
          <w:p w:rsidR="00B45CEC" w:rsidRDefault="00B45CEC" w:rsidP="00B45CEC">
            <w:pPr>
              <w:jc w:val="both"/>
              <w:rPr>
                <w:color w:val="FF0000"/>
              </w:rPr>
            </w:pPr>
            <w:r>
              <w:t xml:space="preserve"> -увеличить количество мероприятий, проводимых </w:t>
            </w:r>
            <w:proofErr w:type="spellStart"/>
            <w:r>
              <w:t>культурно-досуговыми</w:t>
            </w:r>
            <w:proofErr w:type="spellEnd"/>
            <w:r>
              <w:t xml:space="preserve"> учреждениями до 365 мероприятий.</w:t>
            </w:r>
          </w:p>
        </w:tc>
      </w:tr>
    </w:tbl>
    <w:p w:rsidR="00B45CEC" w:rsidRDefault="00B45CEC" w:rsidP="00B45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45CEC" w:rsidRDefault="00B45CEC" w:rsidP="00B45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45CEC" w:rsidRDefault="00B45CEC" w:rsidP="00B45CEC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раздел 4 подпрограммы изложить в следующей редакции:</w:t>
      </w:r>
    </w:p>
    <w:p w:rsidR="00B45CEC" w:rsidRDefault="00B45CEC" w:rsidP="00B45CEC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2.Основным источником финансирования являются средства местного бюджета.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объем бюджетного финансирования  составит </w:t>
      </w:r>
      <w:r w:rsidR="000D016D">
        <w:rPr>
          <w:rFonts w:ascii="Times New Roman" w:hAnsi="Times New Roman" w:cs="Times New Roman"/>
          <w:sz w:val="24"/>
        </w:rPr>
        <w:t>7 478,4</w:t>
      </w:r>
      <w:r>
        <w:rPr>
          <w:rFonts w:ascii="Times New Roman" w:hAnsi="Times New Roman" w:cs="Times New Roman"/>
          <w:sz w:val="24"/>
        </w:rPr>
        <w:t xml:space="preserve"> тыс. руб., в т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 xml:space="preserve"> по годам;</w:t>
      </w:r>
    </w:p>
    <w:p w:rsidR="00B45CEC" w:rsidRDefault="00B45CEC" w:rsidP="00B45CEC"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1024,0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5 г"/>
        </w:smartTagPr>
        <w:r>
          <w:t>-</w:t>
        </w:r>
        <w:smartTag w:uri="urn:schemas-microsoft-com:office:smarttags" w:element="metricconverter">
          <w:smartTagPr>
            <w:attr w:name="ProductID" w:val="2015 г"/>
          </w:smartTagPr>
          <w:r>
            <w:t>2015 г</w:t>
          </w:r>
        </w:smartTag>
      </w:smartTag>
      <w:r>
        <w:t>. – 964,8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>
            <w:t>2016 г</w:t>
          </w:r>
        </w:smartTag>
      </w:smartTag>
      <w:r>
        <w:t>. – 961,9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>
            <w:t>2017 г</w:t>
          </w:r>
        </w:smartTag>
      </w:smartTag>
      <w:r>
        <w:t>. – 1163,7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>
            <w:t>2018 г</w:t>
          </w:r>
        </w:smartTag>
      </w:smartTag>
      <w:r>
        <w:t xml:space="preserve">. – </w:t>
      </w:r>
      <w:r w:rsidR="000D016D">
        <w:t>1375,7</w:t>
      </w:r>
      <w:r>
        <w:t xml:space="preserve">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>
            <w:t>2019 г</w:t>
          </w:r>
        </w:smartTag>
      </w:smartTag>
      <w:r>
        <w:t>. – 1015,8 тыс. руб.,</w:t>
      </w:r>
    </w:p>
    <w:p w:rsidR="00B45CEC" w:rsidRDefault="00B45CEC" w:rsidP="00B45CEC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</w:smartTag>
      <w:r>
        <w:t>. – 972,5 тыс. руб</w:t>
      </w:r>
      <w:proofErr w:type="gramStart"/>
      <w:r>
        <w:t>.</w:t>
      </w:r>
      <w:r>
        <w:rPr>
          <w:szCs w:val="28"/>
        </w:rPr>
        <w:t>.</w:t>
      </w:r>
      <w:proofErr w:type="gramEnd"/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B45CEC" w:rsidRDefault="00B45CEC" w:rsidP="00B45CEC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 мероприятий по реализации подпрограммы</w:t>
      </w:r>
    </w:p>
    <w:tbl>
      <w:tblPr>
        <w:tblW w:w="11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850"/>
        <w:gridCol w:w="1133"/>
        <w:gridCol w:w="1133"/>
        <w:gridCol w:w="992"/>
        <w:gridCol w:w="1133"/>
        <w:gridCol w:w="991"/>
        <w:gridCol w:w="850"/>
        <w:gridCol w:w="2448"/>
      </w:tblGrid>
      <w:tr w:rsidR="00B45CEC" w:rsidTr="00B45C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  <w:p w:rsidR="00B45CEC" w:rsidRDefault="00B45CEC" w:rsidP="00B45CEC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 xml:space="preserve">Финансирование по годам </w:t>
            </w:r>
          </w:p>
          <w:p w:rsidR="00B45CEC" w:rsidRDefault="00B45CEC" w:rsidP="00B45CEC">
            <w:pPr>
              <w:spacing w:line="360" w:lineRule="auto"/>
              <w:jc w:val="center"/>
            </w:pPr>
            <w:r>
              <w:t>(тыс. руб.)</w:t>
            </w:r>
          </w:p>
        </w:tc>
      </w:tr>
      <w:tr w:rsidR="00B45CEC" w:rsidTr="00B45CEC">
        <w:trPr>
          <w:trHeight w:val="6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B45CEC" w:rsidRDefault="00B45CEC" w:rsidP="00B45CEC">
            <w:pPr>
              <w:spacing w:line="360" w:lineRule="auto"/>
              <w:jc w:val="center"/>
            </w:pPr>
          </w:p>
        </w:tc>
      </w:tr>
      <w:tr w:rsidR="00B45CEC" w:rsidTr="00B45CEC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со-циальной</w:t>
            </w:r>
            <w:proofErr w:type="spellEnd"/>
            <w:proofErr w:type="gramEnd"/>
            <w:r>
              <w:rPr>
                <w:b/>
                <w:color w:val="000000"/>
                <w:szCs w:val="28"/>
              </w:rPr>
              <w:t xml:space="preserve"> сферы на территории сельского поселения </w:t>
            </w:r>
            <w:proofErr w:type="spellStart"/>
            <w:r>
              <w:rPr>
                <w:b/>
                <w:color w:val="000000"/>
                <w:szCs w:val="28"/>
              </w:rPr>
              <w:t>Сред-нематренский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сельсовет</w:t>
            </w:r>
            <w:r>
              <w:rPr>
                <w:b/>
                <w:szCs w:val="24"/>
              </w:rPr>
              <w:t xml:space="preserve"> </w:t>
            </w:r>
          </w:p>
          <w:p w:rsidR="00B45CEC" w:rsidRDefault="00B45CEC" w:rsidP="00B45CE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972,5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меро-приятие1 </w:t>
            </w:r>
            <w:proofErr w:type="spellStart"/>
            <w:proofErr w:type="gramStart"/>
            <w:r>
              <w:rPr>
                <w:b/>
                <w:szCs w:val="24"/>
              </w:rPr>
              <w:t>подпро-граммы</w:t>
            </w:r>
            <w:proofErr w:type="spellEnd"/>
            <w:proofErr w:type="gramEnd"/>
            <w:r>
              <w:rPr>
                <w:b/>
                <w:szCs w:val="24"/>
              </w:rPr>
              <w:t xml:space="preserve"> 2.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«Создание </w:t>
            </w:r>
            <w:proofErr w:type="spellStart"/>
            <w:r>
              <w:rPr>
                <w:b/>
                <w:szCs w:val="24"/>
              </w:rPr>
              <w:t>усло-вий</w:t>
            </w:r>
            <w:proofErr w:type="spellEnd"/>
            <w:r>
              <w:rPr>
                <w:b/>
                <w:szCs w:val="24"/>
              </w:rPr>
              <w:t xml:space="preserve"> и проведение мероприятий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на-правленных</w:t>
            </w:r>
            <w:proofErr w:type="spellEnd"/>
            <w:r>
              <w:rPr>
                <w:b/>
                <w:szCs w:val="24"/>
              </w:rPr>
              <w:t xml:space="preserve"> на развитие </w:t>
            </w:r>
            <w:proofErr w:type="spellStart"/>
            <w:r>
              <w:rPr>
                <w:b/>
                <w:szCs w:val="24"/>
              </w:rPr>
              <w:t>культу-ры</w:t>
            </w:r>
            <w:proofErr w:type="spellEnd"/>
            <w:r>
              <w:rPr>
                <w:b/>
                <w:szCs w:val="24"/>
              </w:rPr>
              <w:t xml:space="preserve"> сельского </w:t>
            </w:r>
            <w:proofErr w:type="spellStart"/>
            <w:r>
              <w:rPr>
                <w:b/>
                <w:szCs w:val="24"/>
              </w:rPr>
              <w:t>по-селения</w:t>
            </w:r>
            <w:proofErr w:type="spellEnd"/>
            <w:r>
              <w:rPr>
                <w:b/>
                <w:szCs w:val="24"/>
              </w:rPr>
              <w:t>»</w:t>
            </w:r>
          </w:p>
          <w:p w:rsidR="00B45CEC" w:rsidRDefault="00B45CEC" w:rsidP="00B45C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  <w:r>
              <w:t>1163,7</w:t>
            </w:r>
          </w:p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972,5</w:t>
            </w:r>
          </w:p>
        </w:tc>
      </w:tr>
      <w:tr w:rsidR="00B45CEC" w:rsidTr="00B45CEC">
        <w:trPr>
          <w:trHeight w:val="1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 xml:space="preserve">Расходы на оплату труда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560,6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169,3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161,2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 xml:space="preserve">Расходы на </w:t>
            </w:r>
            <w:proofErr w:type="spellStart"/>
            <w:proofErr w:type="gramStart"/>
            <w:r>
              <w:rPr>
                <w:color w:val="000000"/>
              </w:rPr>
              <w:t>содер-жание</w:t>
            </w:r>
            <w:proofErr w:type="spellEnd"/>
            <w:proofErr w:type="gramEnd"/>
            <w:r>
              <w:rPr>
                <w:color w:val="000000"/>
              </w:rPr>
              <w:t xml:space="preserve">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81,4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rFonts w:cs="Arial"/>
              </w:rPr>
              <w:t xml:space="preserve">Осуществление подписки на периодические </w:t>
            </w:r>
            <w:r>
              <w:rPr>
                <w:rFonts w:cs="Arial"/>
              </w:rPr>
              <w:lastRenderedPageBreak/>
              <w:t>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lastRenderedPageBreak/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  <w:i/>
              </w:rPr>
            </w:pPr>
            <w:r>
              <w:rPr>
                <w:rFonts w:cs="Arial"/>
              </w:rPr>
              <w:t>Расходы на оплату труда персоналу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b/>
                <w:i/>
              </w:rPr>
              <w:t>Всего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2.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«Создание условий и проведение </w:t>
            </w:r>
            <w:proofErr w:type="spellStart"/>
            <w:r>
              <w:rPr>
                <w:b/>
                <w:sz w:val="20"/>
                <w:szCs w:val="24"/>
              </w:rPr>
              <w:t>ме-роприятий</w:t>
            </w:r>
            <w:proofErr w:type="spellEnd"/>
            <w:proofErr w:type="gramStart"/>
            <w:r>
              <w:rPr>
                <w:b/>
                <w:sz w:val="20"/>
                <w:szCs w:val="24"/>
              </w:rPr>
              <w:t xml:space="preserve"> ,</w:t>
            </w:r>
            <w:proofErr w:type="gramEnd"/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напра-вленных</w:t>
            </w:r>
            <w:proofErr w:type="spellEnd"/>
            <w:r>
              <w:rPr>
                <w:b/>
                <w:sz w:val="20"/>
                <w:szCs w:val="24"/>
              </w:rPr>
              <w:t xml:space="preserve"> на </w:t>
            </w:r>
            <w:proofErr w:type="spellStart"/>
            <w:r>
              <w:rPr>
                <w:b/>
                <w:sz w:val="20"/>
                <w:szCs w:val="24"/>
              </w:rPr>
              <w:t>разви-тие</w:t>
            </w:r>
            <w:proofErr w:type="spellEnd"/>
            <w:r>
              <w:rPr>
                <w:b/>
                <w:sz w:val="20"/>
                <w:szCs w:val="24"/>
              </w:rPr>
              <w:t xml:space="preserve"> физической культуры и </w:t>
            </w:r>
            <w:proofErr w:type="spellStart"/>
            <w:r>
              <w:rPr>
                <w:b/>
                <w:sz w:val="20"/>
                <w:szCs w:val="24"/>
              </w:rPr>
              <w:t>массо-вого</w:t>
            </w:r>
            <w:proofErr w:type="spellEnd"/>
            <w:r>
              <w:rPr>
                <w:b/>
                <w:sz w:val="20"/>
                <w:szCs w:val="24"/>
              </w:rPr>
              <w:t xml:space="preserve"> спорта в </w:t>
            </w:r>
            <w:proofErr w:type="spellStart"/>
            <w:r>
              <w:rPr>
                <w:b/>
                <w:sz w:val="20"/>
                <w:szCs w:val="24"/>
              </w:rPr>
              <w:t>сель-ском</w:t>
            </w:r>
            <w:proofErr w:type="spellEnd"/>
            <w:r>
              <w:rPr>
                <w:b/>
                <w:sz w:val="20"/>
                <w:szCs w:val="24"/>
              </w:rPr>
              <w:t xml:space="preserve"> поселении» 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B45CEC" w:rsidRDefault="00B45CEC" w:rsidP="00B45CEC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 xml:space="preserve">1.1. Расходы на </w:t>
            </w:r>
            <w:proofErr w:type="spellStart"/>
            <w:proofErr w:type="gramStart"/>
            <w:r>
              <w:rPr>
                <w:sz w:val="20"/>
                <w:szCs w:val="24"/>
              </w:rPr>
              <w:t>при-обретение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спорти-вного</w:t>
            </w:r>
            <w:proofErr w:type="spellEnd"/>
            <w:r>
              <w:rPr>
                <w:sz w:val="20"/>
                <w:szCs w:val="24"/>
              </w:rPr>
              <w:t xml:space="preserve"> инвентаря и проведения </w:t>
            </w:r>
            <w:proofErr w:type="spellStart"/>
            <w:r>
              <w:rPr>
                <w:sz w:val="20"/>
                <w:szCs w:val="24"/>
              </w:rPr>
              <w:t>спор-тивных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0D016D" w:rsidP="00B45CEC">
            <w:pPr>
              <w:jc w:val="center"/>
            </w:pPr>
            <w: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b/>
                <w:i/>
              </w:rPr>
              <w:t>Всего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7922C9" w:rsidP="00B45CEC">
            <w:pPr>
              <w:jc w:val="center"/>
              <w:rPr>
                <w:b/>
              </w:rPr>
            </w:pPr>
            <w:r>
              <w:rPr>
                <w:b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0D016D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rPr>
                <w:b/>
              </w:rPr>
            </w:pPr>
            <w:r>
              <w:rPr>
                <w:b/>
              </w:rPr>
              <w:t>972,5</w:t>
            </w:r>
          </w:p>
        </w:tc>
      </w:tr>
    </w:tbl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</w:p>
    <w:p w:rsidR="00BE36D4" w:rsidRDefault="00BE36D4" w:rsidP="00BE36D4">
      <w:pPr>
        <w:rPr>
          <w:sz w:val="28"/>
          <w:szCs w:val="28"/>
        </w:rPr>
      </w:pPr>
      <w:r>
        <w:rPr>
          <w:sz w:val="28"/>
          <w:szCs w:val="28"/>
        </w:rPr>
        <w:t xml:space="preserve">7.Приложение 3 изложить в новой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3 к изменениям;  </w:t>
      </w:r>
    </w:p>
    <w:p w:rsidR="00BE36D4" w:rsidRDefault="00BE36D4" w:rsidP="007252FC">
      <w:pPr>
        <w:rPr>
          <w:rFonts w:ascii="Times New Roman" w:hAnsi="Times New Roman"/>
          <w:sz w:val="28"/>
          <w:szCs w:val="24"/>
          <w:lang w:eastAsia="ru-RU"/>
        </w:rPr>
        <w:sectPr w:rsidR="00BE36D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C57065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0D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</w:t>
            </w:r>
            <w:r w:rsidR="00512B62">
              <w:rPr>
                <w:sz w:val="20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C57065" w:rsidRDefault="00C57065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AE18F9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0D016D" w:rsidP="00BC0234">
            <w:pPr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A26F7A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B45CEC" w:rsidP="002345B6">
            <w:pPr>
              <w:rPr>
                <w:szCs w:val="24"/>
              </w:rPr>
            </w:pPr>
            <w:r>
              <w:rPr>
                <w:szCs w:val="24"/>
              </w:rPr>
              <w:t>1318,9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C57065" w:rsidRPr="002114C9" w:rsidRDefault="00C57065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2 подпрограммы 4 «Приобретение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B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C57065" w:rsidRPr="0092515D" w:rsidRDefault="00C57065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C57065" w:rsidRPr="0092515D" w:rsidRDefault="00C57065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C57065" w:rsidRPr="004B029C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C57065" w:rsidRPr="007D4A32" w:rsidRDefault="00C57065" w:rsidP="00FF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29C">
              <w:rPr>
                <w:sz w:val="20"/>
                <w:szCs w:val="24"/>
              </w:rPr>
              <w:t xml:space="preserve">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</w:t>
            </w:r>
            <w:r w:rsidR="00746530">
              <w:rPr>
                <w:sz w:val="20"/>
                <w:szCs w:val="24"/>
              </w:rPr>
              <w:t>,</w:t>
            </w:r>
            <w:r w:rsidRPr="007D4A32">
              <w:rPr>
                <w:rFonts w:ascii="Times New Roman" w:hAnsi="Times New Roman"/>
              </w:rPr>
              <w:t xml:space="preserve"> </w:t>
            </w:r>
          </w:p>
          <w:p w:rsidR="00C57065" w:rsidRPr="007D4A32" w:rsidRDefault="00C57065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</w:p>
          <w:p w:rsidR="00C57065" w:rsidRPr="004B029C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4B029C" w:rsidRDefault="006E3BC2" w:rsidP="006E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9 подпрограммы 4 </w:t>
            </w:r>
            <w:r>
              <w:rPr>
                <w:szCs w:val="24"/>
              </w:rPr>
              <w:br/>
              <w:t xml:space="preserve">Проведение </w:t>
            </w:r>
            <w:proofErr w:type="gramStart"/>
            <w:r>
              <w:rPr>
                <w:szCs w:val="24"/>
              </w:rPr>
              <w:t>экспертизы достоверности определения сметной стоимости зданий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6E3B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303061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3BC2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6E3BC2" w:rsidRDefault="006E3BC2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6E3BC2" w:rsidRPr="0092515D" w:rsidRDefault="006E3BC2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6E3BC2" w:rsidRPr="0092515D" w:rsidRDefault="006E3BC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0D016D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11952,8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0D016D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1967,2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C67670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развитой инфраструктурой и </w:t>
            </w:r>
            <w:r w:rsidRPr="002114C9">
              <w:rPr>
                <w:color w:val="000000"/>
                <w:sz w:val="20"/>
                <w:szCs w:val="20"/>
              </w:rPr>
              <w:lastRenderedPageBreak/>
              <w:t xml:space="preserve">повышение уровня благоустройства территории сельского поселения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3678,9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30306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303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6E5E22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343,7</w:t>
            </w:r>
          </w:p>
          <w:p w:rsidR="003F1FEB" w:rsidRPr="006E5E22" w:rsidRDefault="006E5E22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03061" w:rsidRDefault="006E5E22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  <w:p w:rsidR="003F1FEB" w:rsidRPr="006E5E22" w:rsidRDefault="006E5E22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303061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C67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водоема,</w:t>
            </w:r>
            <w:r w:rsidR="00C67670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слуги по завозу песка на пляж,</w:t>
            </w:r>
            <w:r w:rsidR="00C67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C67670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</w:t>
            </w:r>
            <w:r w:rsidR="00D95513">
              <w:rPr>
                <w:sz w:val="20"/>
                <w:szCs w:val="20"/>
              </w:rPr>
              <w:t>,</w:t>
            </w:r>
            <w:r w:rsidR="00C67670">
              <w:rPr>
                <w:sz w:val="20"/>
                <w:szCs w:val="20"/>
              </w:rPr>
              <w:t xml:space="preserve"> </w:t>
            </w:r>
            <w:r w:rsidR="00D95513">
              <w:rPr>
                <w:sz w:val="20"/>
                <w:szCs w:val="20"/>
              </w:rPr>
              <w:t>укладка тротуаров, покраска ограждение и площадок для отдыха</w:t>
            </w:r>
            <w:r w:rsidR="006507FF">
              <w:rPr>
                <w:sz w:val="20"/>
                <w:szCs w:val="20"/>
              </w:rPr>
              <w:t>,</w:t>
            </w:r>
            <w:r w:rsidR="00C67670">
              <w:rPr>
                <w:sz w:val="20"/>
                <w:szCs w:val="20"/>
              </w:rPr>
              <w:t xml:space="preserve"> </w:t>
            </w:r>
            <w:r w:rsidR="006507FF">
              <w:rPr>
                <w:sz w:val="20"/>
                <w:szCs w:val="20"/>
              </w:rPr>
              <w:t>приобретение бытовки</w:t>
            </w:r>
            <w:r w:rsidR="000F1F8D">
              <w:rPr>
                <w:sz w:val="20"/>
                <w:szCs w:val="20"/>
              </w:rPr>
              <w:t xml:space="preserve">, кирпича  и </w:t>
            </w:r>
            <w:r w:rsidR="00AE2C23">
              <w:rPr>
                <w:sz w:val="20"/>
                <w:szCs w:val="2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303061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30306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60A1" w:rsidRPr="00ED4D3F" w:rsidTr="0024686E">
        <w:trPr>
          <w:trHeight w:val="2971"/>
        </w:trPr>
        <w:tc>
          <w:tcPr>
            <w:tcW w:w="534" w:type="dxa"/>
          </w:tcPr>
          <w:p w:rsidR="003C60A1" w:rsidRDefault="003C60A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3C60A1" w:rsidRDefault="003C60A1" w:rsidP="003C60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</w:t>
            </w:r>
            <w:r w:rsidR="00BC19BB">
              <w:rPr>
                <w:color w:val="000000"/>
                <w:sz w:val="20"/>
                <w:szCs w:val="20"/>
              </w:rPr>
              <w:t>Расходы  по благоустройству</w:t>
            </w:r>
            <w:r w:rsidRPr="003C60A1">
              <w:rPr>
                <w:color w:val="000000"/>
                <w:sz w:val="20"/>
                <w:szCs w:val="20"/>
              </w:rPr>
              <w:t xml:space="preserve"> территории сельского поселения»</w:t>
            </w:r>
          </w:p>
          <w:p w:rsidR="003C60A1" w:rsidRPr="003C60A1" w:rsidRDefault="003C60A1" w:rsidP="003C6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 xml:space="preserve">.1. Расходы по благоустройству территории сельского поселения на условиях </w:t>
            </w:r>
            <w:proofErr w:type="spellStart"/>
            <w:r w:rsidRPr="003C60A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C60A1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C60A1" w:rsidRPr="003C60A1" w:rsidRDefault="003C60A1" w:rsidP="003C6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01106</w:t>
            </w:r>
            <w:r w:rsidRPr="003C60A1">
              <w:rPr>
                <w:sz w:val="24"/>
                <w:szCs w:val="24"/>
                <w:lang w:val="en-US"/>
              </w:rPr>
              <w:t>S</w:t>
            </w:r>
            <w:r w:rsidRPr="003C60A1">
              <w:rPr>
                <w:sz w:val="24"/>
                <w:szCs w:val="24"/>
              </w:rPr>
              <w:t>6140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512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2B439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7922C9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7478,4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22C9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512B62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B45CE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7405,00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5420,1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2563,1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866,7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300,8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7D0BD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1318,9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171,9</w:t>
            </w:r>
          </w:p>
          <w:p w:rsidR="007D0BD1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7D0BD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2B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2B67B7">
              <w:rPr>
                <w:sz w:val="20"/>
                <w:szCs w:val="24"/>
              </w:rPr>
              <w:t>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7922C9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</w:t>
            </w:r>
            <w:r w:rsidRPr="00687896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0F1F8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F1F8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сопровождению сетевого </w:t>
            </w:r>
            <w:r w:rsidR="00687896">
              <w:rPr>
                <w:b/>
                <w:sz w:val="20"/>
                <w:szCs w:val="20"/>
              </w:rPr>
              <w:t>программ</w:t>
            </w:r>
            <w:r w:rsidRPr="00687896">
              <w:rPr>
                <w:b/>
                <w:sz w:val="20"/>
                <w:szCs w:val="20"/>
              </w:rPr>
              <w:t>ного обеспечения  по электро</w:t>
            </w:r>
            <w:r w:rsidR="00C67670">
              <w:rPr>
                <w:b/>
                <w:sz w:val="20"/>
                <w:szCs w:val="20"/>
              </w:rPr>
              <w:t>н</w:t>
            </w:r>
            <w:r w:rsidRPr="00687896">
              <w:rPr>
                <w:b/>
                <w:sz w:val="20"/>
                <w:szCs w:val="20"/>
              </w:rPr>
              <w:t xml:space="preserve">ному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сельском поселении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D0012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00125">
              <w:rPr>
                <w:b/>
                <w:sz w:val="24"/>
                <w:szCs w:val="24"/>
              </w:rPr>
              <w:t>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3C6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BB2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  <w:proofErr w:type="gramStart"/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</w:t>
            </w:r>
            <w:proofErr w:type="gramEnd"/>
            <w:r w:rsidR="001E2C60">
              <w:rPr>
                <w:sz w:val="20"/>
                <w:szCs w:val="24"/>
              </w:rPr>
              <w:t>а проведение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4.2Покраска водонап</w:t>
            </w:r>
            <w:r w:rsidR="00C67670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рных башен</w:t>
            </w:r>
          </w:p>
          <w:p w:rsidR="005C6E5F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  <w:p w:rsidR="00D00125" w:rsidRPr="00FC77E2" w:rsidRDefault="00746530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4.4 Приобретение материал</w:t>
            </w:r>
            <w:r w:rsidR="00D00125">
              <w:rPr>
                <w:sz w:val="20"/>
                <w:szCs w:val="24"/>
              </w:rPr>
              <w:t>ьных запасов для ремонта зд</w:t>
            </w:r>
            <w:r>
              <w:rPr>
                <w:sz w:val="20"/>
                <w:szCs w:val="24"/>
              </w:rPr>
              <w:t>а</w:t>
            </w:r>
            <w:r w:rsidR="00D00125">
              <w:rPr>
                <w:sz w:val="20"/>
                <w:szCs w:val="24"/>
              </w:rPr>
              <w:t>ния пожарного поста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5C6E5F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</w:t>
            </w:r>
            <w:r w:rsidR="00C67670">
              <w:rPr>
                <w:sz w:val="20"/>
                <w:szCs w:val="20"/>
              </w:rPr>
              <w:t>дение оценки имущества и земель</w:t>
            </w:r>
            <w:r w:rsidRPr="00687896">
              <w:rPr>
                <w:sz w:val="20"/>
                <w:szCs w:val="20"/>
              </w:rPr>
              <w:t>ных участков, выполнение кадастровых работ</w:t>
            </w:r>
          </w:p>
          <w:p w:rsidR="00B4114F" w:rsidRPr="00687896" w:rsidRDefault="00B4114F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</w:t>
            </w:r>
            <w:r w:rsidRPr="00687896">
              <w:rPr>
                <w:sz w:val="20"/>
                <w:szCs w:val="20"/>
              </w:rPr>
              <w:lastRenderedPageBreak/>
              <w:t>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B4114F" w:rsidRPr="00687896" w:rsidRDefault="00B4114F" w:rsidP="00C6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705"/>
        </w:trPr>
        <w:tc>
          <w:tcPr>
            <w:tcW w:w="534" w:type="dxa"/>
            <w:vMerge w:val="restart"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C19BB" w:rsidRPr="004D035A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  <w:p w:rsidR="00BC19BB" w:rsidRPr="00F82171" w:rsidRDefault="00BC19BB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972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138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80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D748C2" w:rsidRPr="00ED4D3F" w:rsidTr="00D748C2">
        <w:trPr>
          <w:trHeight w:val="1515"/>
        </w:trPr>
        <w:tc>
          <w:tcPr>
            <w:tcW w:w="534" w:type="dxa"/>
            <w:vMerge w:val="restart"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</w:t>
            </w:r>
            <w:r>
              <w:rPr>
                <w:b/>
                <w:sz w:val="20"/>
                <w:szCs w:val="20"/>
              </w:rPr>
              <w:t xml:space="preserve">ятие 9 </w:t>
            </w:r>
            <w:r w:rsidRPr="00687896">
              <w:rPr>
                <w:b/>
                <w:sz w:val="20"/>
                <w:szCs w:val="20"/>
              </w:rPr>
              <w:t>подпрограммы 4</w:t>
            </w:r>
          </w:p>
          <w:p w:rsidR="00D748C2" w:rsidRDefault="00D748C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экспертизы достоверности определения сметной стоимости зданий</w:t>
            </w:r>
            <w:proofErr w:type="gramEnd"/>
          </w:p>
          <w:p w:rsidR="00D748C2" w:rsidRDefault="00D748C2" w:rsidP="00D7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F6E6A">
              <w:rPr>
                <w:sz w:val="20"/>
                <w:szCs w:val="20"/>
              </w:rPr>
              <w:t>1 Реализация направления расходов основного мероприятия на проведение экспертизы достоверности определение сметной стоимости зданий</w:t>
            </w:r>
          </w:p>
          <w:p w:rsidR="00D748C2" w:rsidRPr="00746530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48C2" w:rsidRDefault="00303061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8C2" w:rsidRPr="00ED4D3F" w:rsidTr="00DE2325">
        <w:trPr>
          <w:trHeight w:val="1152"/>
        </w:trPr>
        <w:tc>
          <w:tcPr>
            <w:tcW w:w="534" w:type="dxa"/>
            <w:vMerge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0140999999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BE36D4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BE36D4" w:rsidRDefault="00BE36D4" w:rsidP="00BE36D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BE36D4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BE36D4" w:rsidRDefault="00BE36D4" w:rsidP="00BE36D4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BE36D4" w:rsidRDefault="00BE36D4" w:rsidP="00BE36D4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BE36D4" w:rsidRPr="0054198B" w:rsidRDefault="00BE36D4" w:rsidP="00BE36D4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BE36D4" w:rsidRDefault="00BE36D4" w:rsidP="00BE3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6D4" w:rsidRPr="00B35DE2" w:rsidRDefault="00BE36D4" w:rsidP="00BE3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E36D4" w:rsidRPr="00B35DE2" w:rsidRDefault="00BE36D4" w:rsidP="00BE3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BE36D4" w:rsidRPr="00ED4D3F" w:rsidRDefault="00BE36D4" w:rsidP="00BE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BE36D4" w:rsidRPr="00ED4D3F" w:rsidTr="00245418">
        <w:tc>
          <w:tcPr>
            <w:tcW w:w="670" w:type="dxa"/>
            <w:vMerge w:val="restart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BE36D4" w:rsidRPr="00ED4D3F" w:rsidTr="00245418">
        <w:tc>
          <w:tcPr>
            <w:tcW w:w="670" w:type="dxa"/>
            <w:vMerge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BE36D4" w:rsidRPr="00ED4D3F" w:rsidTr="00245418">
        <w:tc>
          <w:tcPr>
            <w:tcW w:w="670" w:type="dxa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BE36D4" w:rsidRPr="00ED4D3F" w:rsidTr="00245418">
        <w:tc>
          <w:tcPr>
            <w:tcW w:w="670" w:type="dxa"/>
            <w:vMerge w:val="restart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BE36D4" w:rsidRPr="00C2031B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18232,1</w:t>
            </w:r>
          </w:p>
        </w:tc>
        <w:tc>
          <w:tcPr>
            <w:tcW w:w="99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2628,8</w:t>
            </w:r>
          </w:p>
        </w:tc>
        <w:tc>
          <w:tcPr>
            <w:tcW w:w="1275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3626,5</w:t>
            </w:r>
          </w:p>
        </w:tc>
        <w:tc>
          <w:tcPr>
            <w:tcW w:w="1134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1070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BE36D4" w:rsidRPr="00ED4D3F" w:rsidTr="00245418">
        <w:trPr>
          <w:trHeight w:val="223"/>
        </w:trPr>
        <w:tc>
          <w:tcPr>
            <w:tcW w:w="670" w:type="dxa"/>
            <w:vMerge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298"/>
        </w:trPr>
        <w:tc>
          <w:tcPr>
            <w:tcW w:w="670" w:type="dxa"/>
            <w:vMerge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3704,9</w:t>
            </w:r>
          </w:p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c>
          <w:tcPr>
            <w:tcW w:w="670" w:type="dxa"/>
            <w:vMerge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2631,2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c>
          <w:tcPr>
            <w:tcW w:w="670" w:type="dxa"/>
            <w:vMerge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11896,0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BE36D4" w:rsidRPr="00BD3BAC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1497,9</w:t>
            </w:r>
          </w:p>
        </w:tc>
        <w:tc>
          <w:tcPr>
            <w:tcW w:w="993" w:type="dxa"/>
            <w:shd w:val="clear" w:color="auto" w:fill="auto"/>
          </w:tcPr>
          <w:p w:rsidR="00BE36D4" w:rsidRPr="00BD3BAC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BE36D4" w:rsidRPr="00BD3BAC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1910,4</w:t>
            </w:r>
          </w:p>
        </w:tc>
        <w:tc>
          <w:tcPr>
            <w:tcW w:w="1134" w:type="dxa"/>
            <w:shd w:val="clear" w:color="auto" w:fill="auto"/>
          </w:tcPr>
          <w:p w:rsidR="00BE36D4" w:rsidRPr="00BD3BAC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1026,1</w:t>
            </w:r>
          </w:p>
        </w:tc>
        <w:tc>
          <w:tcPr>
            <w:tcW w:w="1070" w:type="dxa"/>
            <w:shd w:val="clear" w:color="auto" w:fill="auto"/>
          </w:tcPr>
          <w:p w:rsidR="00BE36D4" w:rsidRPr="00BD3BAC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BE36D4" w:rsidRPr="00ED4D3F" w:rsidTr="00245418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C5226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c>
          <w:tcPr>
            <w:tcW w:w="670" w:type="dxa"/>
            <w:vMerge w:val="restart"/>
            <w:tcBorders>
              <w:bottom w:val="nil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E36D4" w:rsidRPr="00C2031B" w:rsidRDefault="00BE36D4" w:rsidP="00245418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E36D4" w:rsidRPr="00ED4D3F" w:rsidRDefault="00BE36D4" w:rsidP="00245418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8657,1</w:t>
            </w:r>
          </w:p>
        </w:tc>
        <w:tc>
          <w:tcPr>
            <w:tcW w:w="992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1915,3</w:t>
            </w:r>
          </w:p>
        </w:tc>
        <w:tc>
          <w:tcPr>
            <w:tcW w:w="1134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BE36D4" w:rsidRPr="00ED4D3F" w:rsidTr="00245418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2347,0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c>
          <w:tcPr>
            <w:tcW w:w="670" w:type="dxa"/>
            <w:vMerge/>
            <w:tcBorders>
              <w:top w:val="nil"/>
              <w:bottom w:val="nil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2631,2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3678,9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150291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505"/>
        </w:trPr>
        <w:tc>
          <w:tcPr>
            <w:tcW w:w="670" w:type="dxa"/>
            <w:vMerge w:val="restart"/>
          </w:tcPr>
          <w:p w:rsidR="00BE36D4" w:rsidRPr="008A160E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BE36D4" w:rsidRPr="00150291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7505,8</w:t>
            </w:r>
          </w:p>
        </w:tc>
        <w:tc>
          <w:tcPr>
            <w:tcW w:w="992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1318,9</w:t>
            </w:r>
          </w:p>
        </w:tc>
        <w:tc>
          <w:tcPr>
            <w:tcW w:w="1134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E36D4" w:rsidRPr="008859DD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BE36D4" w:rsidRPr="00ED4D3F" w:rsidTr="00245418">
        <w:trPr>
          <w:trHeight w:val="383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261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rPr>
          <w:trHeight w:val="251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391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7421,6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BE36D4" w:rsidRPr="00ED4D3F" w:rsidTr="00245418">
        <w:trPr>
          <w:trHeight w:val="580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377"/>
        </w:trPr>
        <w:tc>
          <w:tcPr>
            <w:tcW w:w="670" w:type="dxa"/>
            <w:vMerge w:val="restart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BE36D4" w:rsidRPr="00DC169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E36D4" w:rsidRPr="00ED4D3F" w:rsidTr="00245418">
        <w:trPr>
          <w:trHeight w:val="420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345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300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180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E36D4" w:rsidRPr="00ED4D3F" w:rsidTr="00245418">
        <w:trPr>
          <w:trHeight w:val="255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426"/>
        </w:trPr>
        <w:tc>
          <w:tcPr>
            <w:tcW w:w="670" w:type="dxa"/>
            <w:vMerge w:val="restart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BE36D4" w:rsidRPr="00342BE8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2068,2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392,3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BE36D4" w:rsidRPr="00ED4D3F" w:rsidTr="00245418">
        <w:trPr>
          <w:trHeight w:val="379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413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1273,7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36D4" w:rsidRPr="00ED4D3F" w:rsidTr="00245418">
        <w:trPr>
          <w:trHeight w:val="347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36D4" w:rsidRPr="00ED4D3F" w:rsidTr="00245418">
        <w:trPr>
          <w:trHeight w:val="383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E36D4" w:rsidRPr="00CB41C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794,5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BE36D4" w:rsidRPr="00ED4D3F" w:rsidTr="00245418">
        <w:trPr>
          <w:trHeight w:val="729"/>
        </w:trPr>
        <w:tc>
          <w:tcPr>
            <w:tcW w:w="670" w:type="dxa"/>
            <w:vMerge/>
          </w:tcPr>
          <w:p w:rsidR="00BE36D4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E36D4" w:rsidRPr="00C962A3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BE36D4" w:rsidRPr="00ED4D3F" w:rsidRDefault="00BE36D4" w:rsidP="0024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36D4" w:rsidRDefault="00BE36D4" w:rsidP="00BE36D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E36D4" w:rsidRDefault="00BE36D4" w:rsidP="00BE36D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Default="00BE36D4" w:rsidP="00BE36D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BE36D4" w:rsidRPr="001C339A" w:rsidRDefault="00BE36D4" w:rsidP="00BE36D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6E5E22" w:rsidP="006E5E22">
      <w:pPr>
        <w:tabs>
          <w:tab w:val="left" w:pos="4900"/>
        </w:tabs>
        <w:ind w:left="36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</w:p>
    <w:sectPr w:rsidR="002C6CBE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18" w:rsidRDefault="00245418" w:rsidP="009744EF">
      <w:pPr>
        <w:spacing w:after="0" w:line="240" w:lineRule="auto"/>
      </w:pPr>
      <w:r>
        <w:separator/>
      </w:r>
    </w:p>
  </w:endnote>
  <w:endnote w:type="continuationSeparator" w:id="1">
    <w:p w:rsidR="00245418" w:rsidRDefault="00245418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18" w:rsidRDefault="00245418" w:rsidP="009744EF">
      <w:pPr>
        <w:spacing w:after="0" w:line="240" w:lineRule="auto"/>
      </w:pPr>
      <w:r>
        <w:separator/>
      </w:r>
    </w:p>
  </w:footnote>
  <w:footnote w:type="continuationSeparator" w:id="1">
    <w:p w:rsidR="00245418" w:rsidRDefault="00245418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5732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0221"/>
    <w:rsid w:val="00091E58"/>
    <w:rsid w:val="000A5AAE"/>
    <w:rsid w:val="000B1C24"/>
    <w:rsid w:val="000B6748"/>
    <w:rsid w:val="000C24E8"/>
    <w:rsid w:val="000C45AC"/>
    <w:rsid w:val="000C6159"/>
    <w:rsid w:val="000C687D"/>
    <w:rsid w:val="000D016D"/>
    <w:rsid w:val="000D09FF"/>
    <w:rsid w:val="000D0ABA"/>
    <w:rsid w:val="000D0C3D"/>
    <w:rsid w:val="000D251C"/>
    <w:rsid w:val="000D2B81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0F1F8D"/>
    <w:rsid w:val="0010039E"/>
    <w:rsid w:val="00101A8A"/>
    <w:rsid w:val="001032E4"/>
    <w:rsid w:val="00111C65"/>
    <w:rsid w:val="00113DDA"/>
    <w:rsid w:val="001172D6"/>
    <w:rsid w:val="00125E2C"/>
    <w:rsid w:val="00136484"/>
    <w:rsid w:val="001422AE"/>
    <w:rsid w:val="00142A3A"/>
    <w:rsid w:val="001444F8"/>
    <w:rsid w:val="001466BC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85C69"/>
    <w:rsid w:val="00190CED"/>
    <w:rsid w:val="00193DB6"/>
    <w:rsid w:val="00194606"/>
    <w:rsid w:val="001A0182"/>
    <w:rsid w:val="001A0EB2"/>
    <w:rsid w:val="001A18C9"/>
    <w:rsid w:val="001A70C1"/>
    <w:rsid w:val="001B1944"/>
    <w:rsid w:val="001C3182"/>
    <w:rsid w:val="001C339A"/>
    <w:rsid w:val="001C3EB5"/>
    <w:rsid w:val="001D0F61"/>
    <w:rsid w:val="001D4922"/>
    <w:rsid w:val="001D50C8"/>
    <w:rsid w:val="001D7715"/>
    <w:rsid w:val="001D775C"/>
    <w:rsid w:val="001E0FDB"/>
    <w:rsid w:val="001E2C60"/>
    <w:rsid w:val="001E3C3D"/>
    <w:rsid w:val="001E7850"/>
    <w:rsid w:val="001F4B3A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365"/>
    <w:rsid w:val="002207D6"/>
    <w:rsid w:val="002252F3"/>
    <w:rsid w:val="00225C78"/>
    <w:rsid w:val="00225F32"/>
    <w:rsid w:val="0022686A"/>
    <w:rsid w:val="0023411F"/>
    <w:rsid w:val="002345B6"/>
    <w:rsid w:val="002351D0"/>
    <w:rsid w:val="002355A3"/>
    <w:rsid w:val="00235C31"/>
    <w:rsid w:val="0023623F"/>
    <w:rsid w:val="00237F58"/>
    <w:rsid w:val="002403A4"/>
    <w:rsid w:val="00242418"/>
    <w:rsid w:val="002434D0"/>
    <w:rsid w:val="0024381F"/>
    <w:rsid w:val="00243B9F"/>
    <w:rsid w:val="00243F16"/>
    <w:rsid w:val="00245418"/>
    <w:rsid w:val="0024686E"/>
    <w:rsid w:val="00246DBC"/>
    <w:rsid w:val="0025089A"/>
    <w:rsid w:val="00250D13"/>
    <w:rsid w:val="00254A2F"/>
    <w:rsid w:val="002569A1"/>
    <w:rsid w:val="0026125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87A3B"/>
    <w:rsid w:val="00296DEC"/>
    <w:rsid w:val="002A27D9"/>
    <w:rsid w:val="002A40BE"/>
    <w:rsid w:val="002B07A0"/>
    <w:rsid w:val="002B08DA"/>
    <w:rsid w:val="002B2E1E"/>
    <w:rsid w:val="002B4393"/>
    <w:rsid w:val="002B5097"/>
    <w:rsid w:val="002B6175"/>
    <w:rsid w:val="002B67B7"/>
    <w:rsid w:val="002B7076"/>
    <w:rsid w:val="002B782C"/>
    <w:rsid w:val="002C18E2"/>
    <w:rsid w:val="002C3385"/>
    <w:rsid w:val="002C52D0"/>
    <w:rsid w:val="002C650F"/>
    <w:rsid w:val="002C6CBE"/>
    <w:rsid w:val="002D388C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3061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3A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0ECA"/>
    <w:rsid w:val="003958C1"/>
    <w:rsid w:val="00396879"/>
    <w:rsid w:val="0039723E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C60A1"/>
    <w:rsid w:val="003D2E4A"/>
    <w:rsid w:val="003D570F"/>
    <w:rsid w:val="003D5E07"/>
    <w:rsid w:val="003D723C"/>
    <w:rsid w:val="003E4152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2392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3C82"/>
    <w:rsid w:val="00454959"/>
    <w:rsid w:val="00455780"/>
    <w:rsid w:val="0045667E"/>
    <w:rsid w:val="00460907"/>
    <w:rsid w:val="004649A8"/>
    <w:rsid w:val="00464EC6"/>
    <w:rsid w:val="00471380"/>
    <w:rsid w:val="00471408"/>
    <w:rsid w:val="00471C3B"/>
    <w:rsid w:val="00472621"/>
    <w:rsid w:val="00473124"/>
    <w:rsid w:val="004832E0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1992"/>
    <w:rsid w:val="004E399D"/>
    <w:rsid w:val="004F0EC7"/>
    <w:rsid w:val="004F3FB4"/>
    <w:rsid w:val="004F4378"/>
    <w:rsid w:val="004F706D"/>
    <w:rsid w:val="004F75B8"/>
    <w:rsid w:val="00502236"/>
    <w:rsid w:val="0050403B"/>
    <w:rsid w:val="005053B4"/>
    <w:rsid w:val="00505BA5"/>
    <w:rsid w:val="00510886"/>
    <w:rsid w:val="00510F97"/>
    <w:rsid w:val="00512B62"/>
    <w:rsid w:val="005142DA"/>
    <w:rsid w:val="0051430D"/>
    <w:rsid w:val="00515761"/>
    <w:rsid w:val="005161AF"/>
    <w:rsid w:val="0052196E"/>
    <w:rsid w:val="00523AFB"/>
    <w:rsid w:val="00524C4A"/>
    <w:rsid w:val="005309B9"/>
    <w:rsid w:val="00530CCA"/>
    <w:rsid w:val="00533417"/>
    <w:rsid w:val="00534072"/>
    <w:rsid w:val="00534439"/>
    <w:rsid w:val="005357F7"/>
    <w:rsid w:val="00535D42"/>
    <w:rsid w:val="0054198B"/>
    <w:rsid w:val="00544231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5B40"/>
    <w:rsid w:val="005972D6"/>
    <w:rsid w:val="005A07F1"/>
    <w:rsid w:val="005A2EB4"/>
    <w:rsid w:val="005A3D4A"/>
    <w:rsid w:val="005A511D"/>
    <w:rsid w:val="005A6348"/>
    <w:rsid w:val="005A7D83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3781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5F7F18"/>
    <w:rsid w:val="006018BE"/>
    <w:rsid w:val="00610C5D"/>
    <w:rsid w:val="00610D29"/>
    <w:rsid w:val="00613218"/>
    <w:rsid w:val="0062193F"/>
    <w:rsid w:val="00621F83"/>
    <w:rsid w:val="006233A4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32B2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4D5"/>
    <w:rsid w:val="006B2AFA"/>
    <w:rsid w:val="006B57F9"/>
    <w:rsid w:val="006B7329"/>
    <w:rsid w:val="006C0456"/>
    <w:rsid w:val="006C0569"/>
    <w:rsid w:val="006C0989"/>
    <w:rsid w:val="006C2E74"/>
    <w:rsid w:val="006C5900"/>
    <w:rsid w:val="006C7066"/>
    <w:rsid w:val="006C78E8"/>
    <w:rsid w:val="006D0C26"/>
    <w:rsid w:val="006D4697"/>
    <w:rsid w:val="006E35F1"/>
    <w:rsid w:val="006E38E4"/>
    <w:rsid w:val="006E396D"/>
    <w:rsid w:val="006E3BC2"/>
    <w:rsid w:val="006E463F"/>
    <w:rsid w:val="006E5E22"/>
    <w:rsid w:val="006E69CB"/>
    <w:rsid w:val="006F31A4"/>
    <w:rsid w:val="006F3FCE"/>
    <w:rsid w:val="006F4305"/>
    <w:rsid w:val="006F7365"/>
    <w:rsid w:val="00701CA9"/>
    <w:rsid w:val="00706016"/>
    <w:rsid w:val="007107F6"/>
    <w:rsid w:val="00712AF4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530"/>
    <w:rsid w:val="00746C70"/>
    <w:rsid w:val="00746DEF"/>
    <w:rsid w:val="00751123"/>
    <w:rsid w:val="0075198F"/>
    <w:rsid w:val="00752924"/>
    <w:rsid w:val="00753942"/>
    <w:rsid w:val="007552E7"/>
    <w:rsid w:val="00756780"/>
    <w:rsid w:val="00756E04"/>
    <w:rsid w:val="00760744"/>
    <w:rsid w:val="007614D8"/>
    <w:rsid w:val="0076516E"/>
    <w:rsid w:val="007664D1"/>
    <w:rsid w:val="007666CE"/>
    <w:rsid w:val="007734A7"/>
    <w:rsid w:val="007736E4"/>
    <w:rsid w:val="0077502C"/>
    <w:rsid w:val="0078733D"/>
    <w:rsid w:val="00791053"/>
    <w:rsid w:val="007922C9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0BD1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75467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35D7"/>
    <w:rsid w:val="008A408E"/>
    <w:rsid w:val="008B08BA"/>
    <w:rsid w:val="008B3780"/>
    <w:rsid w:val="008B394B"/>
    <w:rsid w:val="008B4AA0"/>
    <w:rsid w:val="008B5E9D"/>
    <w:rsid w:val="008B5F92"/>
    <w:rsid w:val="008B7124"/>
    <w:rsid w:val="008B725A"/>
    <w:rsid w:val="008C5067"/>
    <w:rsid w:val="008C7755"/>
    <w:rsid w:val="008D0944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26EB9"/>
    <w:rsid w:val="009309C2"/>
    <w:rsid w:val="00931634"/>
    <w:rsid w:val="0093279E"/>
    <w:rsid w:val="00932A6E"/>
    <w:rsid w:val="009336BC"/>
    <w:rsid w:val="0093378A"/>
    <w:rsid w:val="009350F4"/>
    <w:rsid w:val="00935408"/>
    <w:rsid w:val="009374CD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5A47"/>
    <w:rsid w:val="00986BF4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D4469"/>
    <w:rsid w:val="009E02B4"/>
    <w:rsid w:val="009E066B"/>
    <w:rsid w:val="009E2ED1"/>
    <w:rsid w:val="009E575F"/>
    <w:rsid w:val="009E6107"/>
    <w:rsid w:val="009F1D0E"/>
    <w:rsid w:val="009F637E"/>
    <w:rsid w:val="009F6CB8"/>
    <w:rsid w:val="00A01FB7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3355"/>
    <w:rsid w:val="00A77853"/>
    <w:rsid w:val="00A83ABC"/>
    <w:rsid w:val="00A8654A"/>
    <w:rsid w:val="00A8687C"/>
    <w:rsid w:val="00A91B04"/>
    <w:rsid w:val="00A946F3"/>
    <w:rsid w:val="00A9555C"/>
    <w:rsid w:val="00A9632C"/>
    <w:rsid w:val="00A96710"/>
    <w:rsid w:val="00AA0D00"/>
    <w:rsid w:val="00AA380F"/>
    <w:rsid w:val="00AB093C"/>
    <w:rsid w:val="00AB5CB5"/>
    <w:rsid w:val="00AC2A80"/>
    <w:rsid w:val="00AC560B"/>
    <w:rsid w:val="00AC618F"/>
    <w:rsid w:val="00AC6F55"/>
    <w:rsid w:val="00AD0F3B"/>
    <w:rsid w:val="00AD426A"/>
    <w:rsid w:val="00AD4352"/>
    <w:rsid w:val="00AD5485"/>
    <w:rsid w:val="00AE18F9"/>
    <w:rsid w:val="00AE2088"/>
    <w:rsid w:val="00AE2C23"/>
    <w:rsid w:val="00AE61B1"/>
    <w:rsid w:val="00AE74D1"/>
    <w:rsid w:val="00AE7672"/>
    <w:rsid w:val="00AE768F"/>
    <w:rsid w:val="00AE7BF6"/>
    <w:rsid w:val="00AF0071"/>
    <w:rsid w:val="00AF083D"/>
    <w:rsid w:val="00AF2D6A"/>
    <w:rsid w:val="00AF3FE6"/>
    <w:rsid w:val="00AF49F9"/>
    <w:rsid w:val="00AF6E6A"/>
    <w:rsid w:val="00B008B5"/>
    <w:rsid w:val="00B07CE0"/>
    <w:rsid w:val="00B13CE6"/>
    <w:rsid w:val="00B16E1E"/>
    <w:rsid w:val="00B1781A"/>
    <w:rsid w:val="00B2393C"/>
    <w:rsid w:val="00B25284"/>
    <w:rsid w:val="00B25FBA"/>
    <w:rsid w:val="00B27328"/>
    <w:rsid w:val="00B27802"/>
    <w:rsid w:val="00B30116"/>
    <w:rsid w:val="00B30DF1"/>
    <w:rsid w:val="00B32135"/>
    <w:rsid w:val="00B34649"/>
    <w:rsid w:val="00B35DE2"/>
    <w:rsid w:val="00B35DF6"/>
    <w:rsid w:val="00B35F79"/>
    <w:rsid w:val="00B40468"/>
    <w:rsid w:val="00B4114F"/>
    <w:rsid w:val="00B45CEC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1655"/>
    <w:rsid w:val="00BB21DF"/>
    <w:rsid w:val="00BB463A"/>
    <w:rsid w:val="00BB4DB1"/>
    <w:rsid w:val="00BB4F2D"/>
    <w:rsid w:val="00BB65F0"/>
    <w:rsid w:val="00BC0234"/>
    <w:rsid w:val="00BC0367"/>
    <w:rsid w:val="00BC19BB"/>
    <w:rsid w:val="00BC353F"/>
    <w:rsid w:val="00BC5F38"/>
    <w:rsid w:val="00BD3BAC"/>
    <w:rsid w:val="00BD623E"/>
    <w:rsid w:val="00BD68C0"/>
    <w:rsid w:val="00BE36D4"/>
    <w:rsid w:val="00BE382C"/>
    <w:rsid w:val="00BF1F64"/>
    <w:rsid w:val="00BF4589"/>
    <w:rsid w:val="00BF4D1A"/>
    <w:rsid w:val="00BF632E"/>
    <w:rsid w:val="00BF773D"/>
    <w:rsid w:val="00BF7B85"/>
    <w:rsid w:val="00C0459C"/>
    <w:rsid w:val="00C04DC6"/>
    <w:rsid w:val="00C05823"/>
    <w:rsid w:val="00C05D6A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57065"/>
    <w:rsid w:val="00C659F7"/>
    <w:rsid w:val="00C67670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22DB"/>
    <w:rsid w:val="00CC5826"/>
    <w:rsid w:val="00CC59D9"/>
    <w:rsid w:val="00CC6D91"/>
    <w:rsid w:val="00CD0E0B"/>
    <w:rsid w:val="00CD1C09"/>
    <w:rsid w:val="00CD471F"/>
    <w:rsid w:val="00CD55A8"/>
    <w:rsid w:val="00CE0A2E"/>
    <w:rsid w:val="00CE18CB"/>
    <w:rsid w:val="00CF19FC"/>
    <w:rsid w:val="00D00125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325D"/>
    <w:rsid w:val="00D57276"/>
    <w:rsid w:val="00D6536B"/>
    <w:rsid w:val="00D6550B"/>
    <w:rsid w:val="00D67451"/>
    <w:rsid w:val="00D72177"/>
    <w:rsid w:val="00D727CD"/>
    <w:rsid w:val="00D73827"/>
    <w:rsid w:val="00D748C2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4813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2EF8"/>
    <w:rsid w:val="00DF3BB9"/>
    <w:rsid w:val="00DF5305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9CB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18BA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1045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408"/>
    <w:rsid w:val="00F458B7"/>
    <w:rsid w:val="00F50297"/>
    <w:rsid w:val="00F52DC4"/>
    <w:rsid w:val="00F53746"/>
    <w:rsid w:val="00F53984"/>
    <w:rsid w:val="00F53CEC"/>
    <w:rsid w:val="00F57CE6"/>
    <w:rsid w:val="00F62240"/>
    <w:rsid w:val="00F62F39"/>
    <w:rsid w:val="00F63C94"/>
    <w:rsid w:val="00F64CC5"/>
    <w:rsid w:val="00F66191"/>
    <w:rsid w:val="00F67A34"/>
    <w:rsid w:val="00F67FB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43CC"/>
    <w:rsid w:val="00FB7987"/>
    <w:rsid w:val="00FC390D"/>
    <w:rsid w:val="00FC3F91"/>
    <w:rsid w:val="00FC59BB"/>
    <w:rsid w:val="00FC77E2"/>
    <w:rsid w:val="00FC7BF5"/>
    <w:rsid w:val="00FD0C64"/>
    <w:rsid w:val="00FD5063"/>
    <w:rsid w:val="00FD5DFB"/>
    <w:rsid w:val="00FE4883"/>
    <w:rsid w:val="00FF19E8"/>
    <w:rsid w:val="00FF36DD"/>
    <w:rsid w:val="00FF3C47"/>
    <w:rsid w:val="00FF4E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9D2-E1BA-48DB-BC8E-BB1A8DB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4691</Words>
  <Characters>30878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</cp:revision>
  <cp:lastPrinted>2018-12-27T12:22:00Z</cp:lastPrinted>
  <dcterms:created xsi:type="dcterms:W3CDTF">2018-12-27T12:59:00Z</dcterms:created>
  <dcterms:modified xsi:type="dcterms:W3CDTF">2018-12-27T12:59:00Z</dcterms:modified>
</cp:coreProperties>
</file>