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BD3293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BD329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15.7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81769111" r:id="rId9">
                  <o:FieldCodes>\s</o:FieldCodes>
                </o:OLEObject>
              </w:pict>
            </w:r>
            <w:r w:rsidR="0007607E">
              <w:rPr>
                <w:b/>
              </w:rPr>
              <w:t>,</w: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637B81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813C92">
              <w:rPr>
                <w:rFonts w:ascii="Times New Roman" w:hAnsi="Times New Roman"/>
                <w:sz w:val="24"/>
              </w:rPr>
              <w:t>22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2B2E1E">
              <w:rPr>
                <w:rFonts w:ascii="Times New Roman" w:hAnsi="Times New Roman"/>
                <w:sz w:val="24"/>
              </w:rPr>
              <w:t>2.201</w:t>
            </w:r>
            <w:r w:rsidR="00637B8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836D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376E5">
              <w:rPr>
                <w:rFonts w:ascii="Times New Roman" w:hAnsi="Times New Roman"/>
                <w:spacing w:val="50"/>
                <w:sz w:val="24"/>
              </w:rPr>
              <w:t>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B34567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B34567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  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11330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B34567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5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45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813C92">
        <w:rPr>
          <w:sz w:val="22"/>
        </w:rPr>
        <w:t>22</w:t>
      </w:r>
      <w:r w:rsidR="00DA07DA">
        <w:rPr>
          <w:sz w:val="22"/>
        </w:rPr>
        <w:t>.</w:t>
      </w:r>
      <w:r w:rsidR="000836DA">
        <w:rPr>
          <w:sz w:val="22"/>
        </w:rPr>
        <w:t>0</w:t>
      </w:r>
      <w:r w:rsidR="00DA07DA">
        <w:rPr>
          <w:sz w:val="22"/>
        </w:rPr>
        <w:t>2.201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D376E5">
        <w:rPr>
          <w:sz w:val="22"/>
        </w:rPr>
        <w:t>7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6C0456" w:rsidRDefault="006C0456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C0456" w:rsidRPr="00B34567" w:rsidRDefault="00B34567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4567">
        <w:rPr>
          <w:rFonts w:ascii="Times New Roman" w:hAnsi="Times New Roman" w:cs="Times New Roman"/>
          <w:b w:val="0"/>
          <w:sz w:val="28"/>
          <w:szCs w:val="28"/>
        </w:rPr>
        <w:t>В</w:t>
      </w:r>
      <w:r w:rsidR="006C0456" w:rsidRPr="00B34567">
        <w:rPr>
          <w:rFonts w:ascii="Times New Roman" w:hAnsi="Times New Roman" w:cs="Times New Roman"/>
          <w:b w:val="0"/>
          <w:sz w:val="28"/>
          <w:szCs w:val="28"/>
        </w:rPr>
        <w:t>нести в муниципальную программу</w:t>
      </w:r>
      <w:r w:rsidRPr="00B34567">
        <w:rPr>
          <w:rFonts w:ascii="Times New Roman" w:hAnsi="Times New Roman" w:cs="Times New Roman"/>
          <w:b w:val="0"/>
          <w:sz w:val="28"/>
          <w:szCs w:val="28"/>
        </w:rPr>
        <w:t>,</w:t>
      </w:r>
      <w:r w:rsidR="006C0456" w:rsidRPr="00B34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567">
        <w:rPr>
          <w:rFonts w:ascii="Times New Roman" w:hAnsi="Times New Roman" w:cs="Times New Roman"/>
          <w:b w:val="0"/>
          <w:sz w:val="28"/>
          <w:szCs w:val="28"/>
        </w:rPr>
        <w:t>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 13.11.2014г.,№52 от 01.12.2014г.,№59 от 22.12.2014г.,№2 от 28.01.2015г.,№6 от</w:t>
      </w:r>
      <w:proofErr w:type="gramEnd"/>
      <w:r w:rsidRPr="00B34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34567">
        <w:rPr>
          <w:rFonts w:ascii="Times New Roman" w:hAnsi="Times New Roman" w:cs="Times New Roman"/>
          <w:b w:val="0"/>
          <w:sz w:val="28"/>
          <w:szCs w:val="28"/>
        </w:rPr>
        <w:t>18.03.2015г.,№9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</w:t>
      </w:r>
      <w:proofErr w:type="gramEnd"/>
      <w:r w:rsidRPr="00B34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34567">
        <w:rPr>
          <w:rFonts w:ascii="Times New Roman" w:hAnsi="Times New Roman" w:cs="Times New Roman"/>
          <w:b w:val="0"/>
          <w:sz w:val="28"/>
          <w:szCs w:val="28"/>
        </w:rPr>
        <w:t>03.04.2017г.,№43 от 10.05.2017г.,№68 от 20.06.2017г.№76 от 16.08.2017г.,№82 от 21.09.2017г).,№ 89 от 17.11.2017г.,№95от 29.11.2017г.,№102 от 11.12.2017г.,№109 от 22.12.2017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456" w:rsidRPr="00B3456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B34567" w:rsidRDefault="00B34567" w:rsidP="002207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Pr="00B34567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67">
              <w:rPr>
                <w:rFonts w:ascii="Times New Roman" w:hAnsi="Times New Roman"/>
                <w:sz w:val="28"/>
                <w:szCs w:val="28"/>
              </w:rPr>
              <w:t xml:space="preserve">- темп роста инвестиций в основной </w:t>
            </w:r>
            <w:proofErr w:type="spellStart"/>
            <w:r w:rsidRPr="00B34567">
              <w:rPr>
                <w:rFonts w:ascii="Times New Roman" w:hAnsi="Times New Roman"/>
                <w:sz w:val="28"/>
                <w:szCs w:val="28"/>
              </w:rPr>
              <w:t>капитал%</w:t>
            </w:r>
            <w:proofErr w:type="spellEnd"/>
            <w:r w:rsidRPr="00B345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Обеспеченность населения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313334">
              <w:rPr>
                <w:rFonts w:ascii="Times New Roman" w:hAnsi="Times New Roman"/>
                <w:sz w:val="28"/>
                <w:szCs w:val="28"/>
              </w:rPr>
              <w:t>11458,9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836DA">
              <w:rPr>
                <w:rFonts w:ascii="Times New Roman" w:hAnsi="Times New Roman"/>
                <w:sz w:val="28"/>
                <w:szCs w:val="28"/>
              </w:rPr>
              <w:t>14</w:t>
            </w:r>
            <w:r w:rsidR="00313334">
              <w:rPr>
                <w:rFonts w:ascii="Times New Roman" w:hAnsi="Times New Roman"/>
                <w:sz w:val="28"/>
                <w:szCs w:val="28"/>
              </w:rPr>
              <w:t>7</w:t>
            </w:r>
            <w:r w:rsidR="000836DA">
              <w:rPr>
                <w:rFonts w:ascii="Times New Roman" w:hAnsi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313334">
        <w:rPr>
          <w:rFonts w:ascii="Times New Roman" w:hAnsi="Times New Roman"/>
          <w:color w:val="000000"/>
          <w:sz w:val="28"/>
          <w:szCs w:val="28"/>
        </w:rPr>
        <w:t>11458,9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0836DA">
        <w:rPr>
          <w:rFonts w:ascii="Times New Roman" w:hAnsi="Times New Roman"/>
          <w:color w:val="000000"/>
          <w:sz w:val="28"/>
          <w:szCs w:val="28"/>
        </w:rPr>
        <w:t>3613,0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7347,1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4</w:t>
      </w:r>
      <w:r w:rsidR="00313334">
        <w:rPr>
          <w:rFonts w:ascii="Times New Roman" w:hAnsi="Times New Roman"/>
          <w:color w:val="000000"/>
          <w:sz w:val="28"/>
          <w:szCs w:val="28"/>
        </w:rPr>
        <w:t>97</w:t>
      </w:r>
      <w:r w:rsidR="00460907">
        <w:rPr>
          <w:rFonts w:ascii="Times New Roman" w:hAnsi="Times New Roman"/>
          <w:color w:val="000000"/>
          <w:sz w:val="28"/>
          <w:szCs w:val="28"/>
        </w:rPr>
        <w:t>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2A1" w:rsidRPr="00691B27" w:rsidRDefault="00C532A1" w:rsidP="00C532A1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C532A1" w:rsidRDefault="00C532A1" w:rsidP="00C532A1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C532A1" w:rsidRDefault="00C532A1" w:rsidP="00C532A1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C532A1" w:rsidRDefault="00C532A1" w:rsidP="00C532A1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C532A1" w:rsidRDefault="00C532A1" w:rsidP="00C532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C532A1" w:rsidRPr="006E62D2" w:rsidRDefault="00C532A1" w:rsidP="00C532A1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0836DA">
              <w:rPr>
                <w:rFonts w:ascii="Times New Roman" w:hAnsi="Times New Roman"/>
                <w:sz w:val="28"/>
                <w:szCs w:val="24"/>
              </w:rPr>
              <w:t>3613,0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 w:rsidR="003A5139"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836DA">
              <w:rPr>
                <w:rFonts w:ascii="Times New Roman" w:hAnsi="Times New Roman"/>
                <w:sz w:val="28"/>
                <w:szCs w:val="24"/>
              </w:rPr>
              <w:t>180,6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C532A1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A3661" w:rsidRPr="00B34567">
        <w:rPr>
          <w:rFonts w:ascii="Times New Roman" w:hAnsi="Times New Roman"/>
          <w:sz w:val="28"/>
          <w:szCs w:val="24"/>
          <w:lang w:eastAsia="ru-RU"/>
        </w:rPr>
        <w:t>3613</w:t>
      </w:r>
      <w:r w:rsidR="00B345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A3661">
        <w:rPr>
          <w:rFonts w:ascii="Times New Roman" w:hAnsi="Times New Roman"/>
          <w:sz w:val="28"/>
          <w:szCs w:val="24"/>
          <w:lang w:eastAsia="ru-RU"/>
        </w:rPr>
        <w:t>180,6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A126F4" w:rsidRDefault="00C532A1" w:rsidP="00C5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C532A1" w:rsidRDefault="00C532A1" w:rsidP="00C532A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C532A1" w:rsidRPr="00902107" w:rsidTr="00C532A1">
        <w:tc>
          <w:tcPr>
            <w:tcW w:w="273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532A1" w:rsidRPr="00902107" w:rsidTr="00C532A1">
        <w:tc>
          <w:tcPr>
            <w:tcW w:w="273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C532A1" w:rsidRPr="00902107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C532A1" w:rsidRPr="00E70611" w:rsidRDefault="00C532A1" w:rsidP="00B3456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C532A1" w:rsidRPr="00D75F91" w:rsidRDefault="00C532A1" w:rsidP="00B3456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реконструкцию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C532A1" w:rsidRPr="003777AC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строительства и содержание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фонда»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Pr="000D647D" w:rsidRDefault="009A3661" w:rsidP="00C532A1">
            <w:pPr>
              <w:rPr>
                <w:szCs w:val="28"/>
              </w:rPr>
            </w:pPr>
            <w:r>
              <w:rPr>
                <w:szCs w:val="28"/>
              </w:rPr>
              <w:t>740,6</w:t>
            </w:r>
          </w:p>
        </w:tc>
        <w:tc>
          <w:tcPr>
            <w:tcW w:w="408" w:type="pct"/>
          </w:tcPr>
          <w:p w:rsidR="00C532A1" w:rsidRPr="008F3E7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C532A1" w:rsidRDefault="009A366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 вывоз несанкционированных свалок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C532A1" w:rsidRPr="00C369F8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1170,2</w:t>
            </w: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1135,9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32A1" w:rsidRDefault="009A3661" w:rsidP="00C532A1">
            <w:pPr>
              <w:rPr>
                <w:szCs w:val="28"/>
              </w:rPr>
            </w:pPr>
            <w:r>
              <w:rPr>
                <w:szCs w:val="28"/>
              </w:rPr>
              <w:t>3613,0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C532A1" w:rsidRDefault="009A366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A3661" w:rsidRPr="00B34567">
        <w:rPr>
          <w:rFonts w:ascii="Times New Roman" w:hAnsi="Times New Roman"/>
          <w:sz w:val="28"/>
          <w:szCs w:val="24"/>
          <w:lang w:eastAsia="ru-RU"/>
        </w:rPr>
        <w:t>3613,0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A3661">
        <w:rPr>
          <w:rFonts w:ascii="Times New Roman" w:hAnsi="Times New Roman"/>
          <w:sz w:val="28"/>
          <w:szCs w:val="24"/>
          <w:lang w:eastAsia="ru-RU"/>
        </w:rPr>
        <w:t>180,6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13334" w:rsidRDefault="00D376E5" w:rsidP="00313334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313334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313334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313334" w:rsidRPr="009D2B7E" w:rsidRDefault="00313334" w:rsidP="00313334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313334" w:rsidRDefault="00313334" w:rsidP="00313334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313334" w:rsidRPr="00000571" w:rsidRDefault="00313334" w:rsidP="007D4A32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313334" w:rsidRPr="00000571" w:rsidRDefault="00313334" w:rsidP="007D4A32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313334" w:rsidRDefault="00313334" w:rsidP="007D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313334" w:rsidRPr="00000571" w:rsidRDefault="00313334" w:rsidP="007D4A32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EC718C" w:rsidRDefault="00313334" w:rsidP="007D4A3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313334" w:rsidRPr="00202B4C" w:rsidRDefault="00313334" w:rsidP="007D4A32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.г.- 497,8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– 129,3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183,8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95,8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48,3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10,3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7,3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313334" w:rsidRPr="00EC718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lastRenderedPageBreak/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313334" w:rsidRPr="00022DE8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313334" w:rsidRPr="00022DE8" w:rsidRDefault="00313334" w:rsidP="00313334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313334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313334" w:rsidRPr="00270F93" w:rsidRDefault="00313334" w:rsidP="007D4A3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313334" w:rsidRDefault="00313334" w:rsidP="0031333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3334" w:rsidRDefault="00313334" w:rsidP="0031333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13334" w:rsidRPr="00A34CE9" w:rsidRDefault="00313334" w:rsidP="00313334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313334" w:rsidRPr="00A34CE9" w:rsidRDefault="00313334" w:rsidP="00313334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313334" w:rsidRDefault="00313334" w:rsidP="00313334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313334" w:rsidRPr="00A34CE9" w:rsidRDefault="00313334" w:rsidP="00313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313334" w:rsidRPr="00993F0F" w:rsidRDefault="00313334" w:rsidP="00313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497,8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34567">
        <w:rPr>
          <w:rFonts w:ascii="Times New Roman" w:hAnsi="Times New Roman"/>
          <w:sz w:val="28"/>
          <w:szCs w:val="28"/>
          <w:lang w:eastAsia="ru-RU"/>
        </w:rPr>
        <w:t>183,8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48,3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2559A" w:rsidRDefault="00313334" w:rsidP="00D37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01CA9" w:rsidRPr="00B34567" w:rsidRDefault="00DA30CC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4567">
        <w:rPr>
          <w:rFonts w:ascii="Times New Roman" w:hAnsi="Times New Roman"/>
          <w:sz w:val="28"/>
          <w:szCs w:val="24"/>
          <w:lang w:eastAsia="ru-RU"/>
        </w:rPr>
        <w:t>5</w:t>
      </w:r>
      <w:r w:rsidR="00701CA9" w:rsidRPr="00B34567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B34567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B34567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B34567">
        <w:rPr>
          <w:rFonts w:ascii="Times New Roman" w:hAnsi="Times New Roman"/>
          <w:sz w:val="28"/>
          <w:szCs w:val="28"/>
        </w:rPr>
        <w:t xml:space="preserve"> </w:t>
      </w:r>
      <w:r w:rsidR="00D6536B" w:rsidRPr="00B34567">
        <w:rPr>
          <w:rFonts w:ascii="Times New Roman" w:hAnsi="Times New Roman"/>
          <w:sz w:val="28"/>
          <w:szCs w:val="28"/>
        </w:rPr>
        <w:t>1</w:t>
      </w:r>
      <w:r w:rsidR="00701CA9" w:rsidRPr="00B34567">
        <w:rPr>
          <w:rFonts w:ascii="Times New Roman" w:hAnsi="Times New Roman"/>
          <w:sz w:val="28"/>
          <w:szCs w:val="28"/>
        </w:rPr>
        <w:t xml:space="preserve"> к изменениям;</w:t>
      </w:r>
    </w:p>
    <w:p w:rsidR="00896444" w:rsidRPr="00B34567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RPr="00B34567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B34567">
        <w:rPr>
          <w:rFonts w:ascii="Times New Roman" w:hAnsi="Times New Roman"/>
          <w:sz w:val="28"/>
          <w:szCs w:val="28"/>
        </w:rPr>
        <w:t>6</w:t>
      </w:r>
      <w:r w:rsidR="00896444" w:rsidRPr="00B34567">
        <w:rPr>
          <w:rFonts w:ascii="Times New Roman" w:hAnsi="Times New Roman"/>
          <w:sz w:val="28"/>
          <w:szCs w:val="28"/>
        </w:rPr>
        <w:t>.</w:t>
      </w:r>
      <w:r w:rsidR="00896444" w:rsidRPr="00B34567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B34567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B34567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B34567">
        <w:rPr>
          <w:rFonts w:ascii="Times New Roman" w:hAnsi="Times New Roman"/>
          <w:sz w:val="28"/>
          <w:szCs w:val="28"/>
        </w:rPr>
        <w:t xml:space="preserve"> 2 к изменениям;  </w:t>
      </w:r>
      <w:r w:rsidRPr="00B34567">
        <w:rPr>
          <w:rFonts w:ascii="Times New Roman" w:hAnsi="Times New Roman"/>
          <w:sz w:val="28"/>
          <w:szCs w:val="28"/>
        </w:rPr>
        <w:t>7</w:t>
      </w:r>
      <w:r w:rsidR="00896444" w:rsidRPr="00B34567">
        <w:rPr>
          <w:rFonts w:ascii="Times New Roman" w:hAnsi="Times New Roman"/>
          <w:sz w:val="28"/>
          <w:szCs w:val="28"/>
        </w:rPr>
        <w:t>. Приложение 3 изложить в новой редакции согласно  Приложения 3 к изменениям;</w:t>
      </w:r>
      <w:r w:rsidR="00896444" w:rsidRPr="00B34567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D4355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BC0234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62F39" w:rsidP="002345B6">
            <w:pPr>
              <w:rPr>
                <w:szCs w:val="24"/>
              </w:rPr>
            </w:pPr>
            <w:r>
              <w:rPr>
                <w:szCs w:val="24"/>
              </w:rPr>
              <w:t>1244,4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BC0234" w:rsidRPr="002114C9" w:rsidRDefault="00E10940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BC0234" w:rsidRPr="0092515D" w:rsidRDefault="00BC0234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4B3E25" w:rsidRPr="0092515D" w:rsidRDefault="004B3E2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 w:rsidRPr="0092515D">
              <w:rPr>
                <w:sz w:val="20"/>
                <w:szCs w:val="20"/>
              </w:rPr>
              <w:t>н</w:t>
            </w:r>
            <w:r w:rsidRPr="0092515D">
              <w:rPr>
                <w:sz w:val="20"/>
                <w:szCs w:val="20"/>
              </w:rPr>
              <w:t xml:space="preserve">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138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E763B2" w:rsidRPr="0092515D" w:rsidRDefault="00E763B2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F62F3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E763B2" w:rsidRPr="0092515D" w:rsidRDefault="00E763B2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Внесение изменений в правила землепользования и застройки 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7D4A32" w:rsidRDefault="007D4A3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</w:t>
            </w:r>
            <w:r w:rsidR="00E04486">
              <w:rPr>
                <w:sz w:val="24"/>
                <w:szCs w:val="24"/>
              </w:rPr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4B029C" w:rsidRPr="0092515D" w:rsidRDefault="004B029C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D4355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  <w:r w:rsidR="00F8217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8,9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D4355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21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3,</w:t>
            </w:r>
            <w:r w:rsidR="00F821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B34567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D43559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3613,0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4355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180,6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328.0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24.8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413DD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</w:t>
            </w:r>
            <w:proofErr w:type="spellStart"/>
            <w:r w:rsidR="00D95513">
              <w:rPr>
                <w:sz w:val="20"/>
                <w:szCs w:val="20"/>
              </w:rPr>
              <w:t>отдыха</w:t>
            </w:r>
            <w:r w:rsidR="006507FF">
              <w:rPr>
                <w:sz w:val="20"/>
                <w:szCs w:val="20"/>
              </w:rPr>
              <w:t>,приобретение</w:t>
            </w:r>
            <w:proofErr w:type="spellEnd"/>
            <w:r w:rsidR="006507FF">
              <w:rPr>
                <w:sz w:val="20"/>
                <w:szCs w:val="20"/>
              </w:rPr>
              <w:t xml:space="preserve"> бытовки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  <w:r w:rsidR="00413D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413DD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F62F39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7347,1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F62F39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lastRenderedPageBreak/>
              <w:t>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F62F3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7330,5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F62F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1244,4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5433,3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2729,3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B34567">
              <w:rPr>
                <w:sz w:val="20"/>
                <w:szCs w:val="24"/>
              </w:rPr>
              <w:t>яти</w:t>
            </w:r>
            <w:r>
              <w:rPr>
                <w:sz w:val="20"/>
                <w:szCs w:val="24"/>
              </w:rPr>
              <w:t>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75678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217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F82171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29FD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сопровождению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</w:t>
            </w:r>
            <w:r w:rsidR="00B34567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ному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="0064059E">
              <w:rPr>
                <w:sz w:val="20"/>
                <w:szCs w:val="24"/>
              </w:rPr>
              <w:t>празднования</w:t>
            </w:r>
            <w:proofErr w:type="gramEnd"/>
            <w:r w:rsidR="0064059E">
              <w:rPr>
                <w:sz w:val="20"/>
                <w:szCs w:val="24"/>
              </w:rPr>
              <w:t xml:space="preserve"> 71,72 годовщины Победы в </w:t>
            </w:r>
            <w:r w:rsidR="0064059E">
              <w:rPr>
                <w:sz w:val="20"/>
                <w:szCs w:val="24"/>
              </w:rPr>
              <w:lastRenderedPageBreak/>
              <w:t xml:space="preserve">ВОВ, </w:t>
            </w:r>
            <w:r>
              <w:rPr>
                <w:sz w:val="20"/>
                <w:szCs w:val="24"/>
              </w:rPr>
              <w:t>празднику «День Добринки»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</w:t>
            </w:r>
            <w:r w:rsidR="00B34567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рных башен</w:t>
            </w:r>
          </w:p>
          <w:p w:rsidR="005C6E5F" w:rsidRPr="00FC77E2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B4114F" w:rsidRPr="00687896" w:rsidRDefault="00B4114F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5.1 Расходы  по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Pr="00F82171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</w:t>
            </w:r>
            <w:r w:rsidRPr="00F82171">
              <w:rPr>
                <w:sz w:val="20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B3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171" w:rsidRPr="00ED4D3F" w:rsidTr="00BC0234">
        <w:trPr>
          <w:trHeight w:val="705"/>
        </w:trPr>
        <w:tc>
          <w:tcPr>
            <w:tcW w:w="534" w:type="dxa"/>
          </w:tcPr>
          <w:p w:rsidR="00F82171" w:rsidRDefault="00F82171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82171" w:rsidRPr="00F82171" w:rsidRDefault="00F82171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F82171" w:rsidRP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B3456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17D9E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82171">
              <w:rPr>
                <w:b/>
                <w:sz w:val="24"/>
                <w:szCs w:val="24"/>
              </w:rPr>
              <w:t>707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917D9E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2171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258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2627,2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17D9E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F8217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917D9E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17D9E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7551,4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917D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809,6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17D9E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17D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B565BB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7431,3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7347,1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B565BB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8217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F8217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14F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1A70C1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217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F8217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14F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C9" w:rsidRDefault="009F48C9" w:rsidP="009744EF">
      <w:pPr>
        <w:spacing w:after="0" w:line="240" w:lineRule="auto"/>
      </w:pPr>
      <w:r>
        <w:separator/>
      </w:r>
    </w:p>
  </w:endnote>
  <w:endnote w:type="continuationSeparator" w:id="1">
    <w:p w:rsidR="009F48C9" w:rsidRDefault="009F48C9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C9" w:rsidRDefault="009F48C9" w:rsidP="009744EF">
      <w:pPr>
        <w:spacing w:after="0" w:line="240" w:lineRule="auto"/>
      </w:pPr>
      <w:r>
        <w:separator/>
      </w:r>
    </w:p>
  </w:footnote>
  <w:footnote w:type="continuationSeparator" w:id="1">
    <w:p w:rsidR="009F48C9" w:rsidRDefault="009F48C9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36DA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032E4"/>
    <w:rsid w:val="00111C65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63532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3DB6"/>
    <w:rsid w:val="00194606"/>
    <w:rsid w:val="001A0EB2"/>
    <w:rsid w:val="001A18C9"/>
    <w:rsid w:val="001A70C1"/>
    <w:rsid w:val="001B1944"/>
    <w:rsid w:val="001C339A"/>
    <w:rsid w:val="001C3EB5"/>
    <w:rsid w:val="001D0F61"/>
    <w:rsid w:val="001D4922"/>
    <w:rsid w:val="001D7715"/>
    <w:rsid w:val="001D775C"/>
    <w:rsid w:val="001E0FDB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2E1E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D2E4A"/>
    <w:rsid w:val="003D570F"/>
    <w:rsid w:val="003D5E07"/>
    <w:rsid w:val="003D723C"/>
    <w:rsid w:val="003F03C7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072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8EE"/>
    <w:rsid w:val="005972D6"/>
    <w:rsid w:val="005A07F1"/>
    <w:rsid w:val="005A2EB4"/>
    <w:rsid w:val="005A3D4A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37B81"/>
    <w:rsid w:val="0064059E"/>
    <w:rsid w:val="006507FF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B0BE6"/>
    <w:rsid w:val="006B194F"/>
    <w:rsid w:val="006B2AFA"/>
    <w:rsid w:val="006B7329"/>
    <w:rsid w:val="006C0456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48C9"/>
    <w:rsid w:val="009F637E"/>
    <w:rsid w:val="009F6CB8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A0D00"/>
    <w:rsid w:val="00AA380F"/>
    <w:rsid w:val="00AB093C"/>
    <w:rsid w:val="00AB5CB5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567"/>
    <w:rsid w:val="00B34649"/>
    <w:rsid w:val="00B35DE2"/>
    <w:rsid w:val="00B35DF6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2956"/>
    <w:rsid w:val="00B95039"/>
    <w:rsid w:val="00BA39DD"/>
    <w:rsid w:val="00BA453F"/>
    <w:rsid w:val="00BA47DD"/>
    <w:rsid w:val="00BA7FE3"/>
    <w:rsid w:val="00BB11DF"/>
    <w:rsid w:val="00BB11F7"/>
    <w:rsid w:val="00BB463A"/>
    <w:rsid w:val="00BB4DB1"/>
    <w:rsid w:val="00BB4F2D"/>
    <w:rsid w:val="00BB65F0"/>
    <w:rsid w:val="00BC0234"/>
    <w:rsid w:val="00BC0367"/>
    <w:rsid w:val="00BC353F"/>
    <w:rsid w:val="00BD3293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D55A8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8B7"/>
    <w:rsid w:val="00F47C83"/>
    <w:rsid w:val="00F50297"/>
    <w:rsid w:val="00F52DC4"/>
    <w:rsid w:val="00F53746"/>
    <w:rsid w:val="00F53984"/>
    <w:rsid w:val="00F57CE6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9616-0B3C-4382-8E16-19AB0A1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26</Pages>
  <Words>4851</Words>
  <Characters>32427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201</cp:revision>
  <cp:lastPrinted>2018-03-05T12:28:00Z</cp:lastPrinted>
  <dcterms:created xsi:type="dcterms:W3CDTF">2015-09-17T07:53:00Z</dcterms:created>
  <dcterms:modified xsi:type="dcterms:W3CDTF">2018-03-05T12:32:00Z</dcterms:modified>
</cp:coreProperties>
</file>